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>
    <v:background id="_x0000_s1025" o:bwmode="white" fillcolor="#dbe5f1 [660]">
      <v:fill r:id="rId5" o:title="60%" type="pattern"/>
    </v:background>
  </w:background>
  <w:body>
    <w:p w:rsidR="00757D79" w:rsidRPr="00E15AAE" w:rsidRDefault="009F62E3" w:rsidP="0061527F">
      <w:pPr>
        <w:jc w:val="center"/>
        <w:rPr>
          <w:color w:val="0F243E" w:themeColor="text2" w:themeShade="80"/>
          <w:sz w:val="60"/>
          <w:szCs w:val="60"/>
        </w:rPr>
      </w:pPr>
      <w:r>
        <w:rPr>
          <w:color w:val="0F243E" w:themeColor="text2" w:themeShade="80"/>
          <w:sz w:val="60"/>
          <w:szCs w:val="60"/>
        </w:rPr>
        <w:t>Администрация Горняцкого</w:t>
      </w:r>
      <w:r w:rsidR="00757D79" w:rsidRPr="00E15AAE">
        <w:rPr>
          <w:color w:val="0F243E" w:themeColor="text2" w:themeShade="80"/>
          <w:sz w:val="60"/>
          <w:szCs w:val="60"/>
        </w:rPr>
        <w:t xml:space="preserve"> сельского поселения</w:t>
      </w:r>
    </w:p>
    <w:p w:rsidR="00DC52B1" w:rsidRPr="00757D79" w:rsidRDefault="00DC52B1" w:rsidP="0061527F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2495550" cy="1828800"/>
            <wp:effectExtent l="19050" t="0" r="0" b="0"/>
            <wp:docPr id="3" name="Рисунок 2" descr="wpid-50d643637136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id-50d6436371366[1]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054" cy="183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888" w:rsidRPr="00F867EC" w:rsidRDefault="005A5B9C" w:rsidP="0061527F">
      <w:pPr>
        <w:jc w:val="center"/>
        <w:rPr>
          <w:rFonts w:ascii="Times New Roman" w:hAnsi="Times New Roman" w:cs="Times New Roman"/>
          <w:b/>
          <w:color w:val="00B050"/>
          <w:sz w:val="66"/>
          <w:szCs w:val="66"/>
        </w:rPr>
      </w:pPr>
      <w:r>
        <w:rPr>
          <w:rFonts w:ascii="Times New Roman" w:hAnsi="Times New Roman" w:cs="Times New Roman"/>
          <w:b/>
          <w:color w:val="00B050"/>
          <w:sz w:val="66"/>
          <w:szCs w:val="66"/>
        </w:rPr>
        <w:t>Бюджет</w:t>
      </w:r>
      <w:r w:rsidR="009F62E3" w:rsidRPr="00F867EC">
        <w:rPr>
          <w:rFonts w:ascii="Times New Roman" w:hAnsi="Times New Roman" w:cs="Times New Roman"/>
          <w:b/>
          <w:color w:val="00B050"/>
          <w:sz w:val="66"/>
          <w:szCs w:val="66"/>
        </w:rPr>
        <w:t xml:space="preserve"> Горняцкого</w:t>
      </w:r>
      <w:r w:rsidR="00942888" w:rsidRPr="00F867EC">
        <w:rPr>
          <w:rFonts w:ascii="Times New Roman" w:hAnsi="Times New Roman" w:cs="Times New Roman"/>
          <w:b/>
          <w:color w:val="00B050"/>
          <w:sz w:val="66"/>
          <w:szCs w:val="66"/>
        </w:rPr>
        <w:t xml:space="preserve"> сельского поселения Белокалитвинского района</w:t>
      </w:r>
    </w:p>
    <w:p w:rsidR="00757D79" w:rsidRPr="00F867EC" w:rsidRDefault="002E3448" w:rsidP="0061527F">
      <w:pPr>
        <w:jc w:val="center"/>
        <w:rPr>
          <w:rFonts w:ascii="Times New Roman" w:hAnsi="Times New Roman" w:cs="Times New Roman"/>
          <w:b/>
          <w:color w:val="00B050"/>
          <w:sz w:val="66"/>
          <w:szCs w:val="66"/>
        </w:rPr>
      </w:pPr>
      <w:r>
        <w:rPr>
          <w:rFonts w:ascii="Times New Roman" w:hAnsi="Times New Roman" w:cs="Times New Roman"/>
          <w:b/>
          <w:color w:val="00B050"/>
          <w:sz w:val="66"/>
          <w:szCs w:val="66"/>
        </w:rPr>
        <w:t xml:space="preserve"> на 2019 – 2021</w:t>
      </w:r>
      <w:r w:rsidR="00942888" w:rsidRPr="00F867EC">
        <w:rPr>
          <w:rFonts w:ascii="Times New Roman" w:hAnsi="Times New Roman" w:cs="Times New Roman"/>
          <w:b/>
          <w:color w:val="00B050"/>
          <w:sz w:val="66"/>
          <w:szCs w:val="66"/>
        </w:rPr>
        <w:t xml:space="preserve"> годы</w:t>
      </w:r>
    </w:p>
    <w:p w:rsidR="00F867EC" w:rsidRDefault="004015EB" w:rsidP="00B904CF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:rsidR="00F867EC" w:rsidRDefault="00F867EC" w:rsidP="00B904CF">
      <w:pPr>
        <w:rPr>
          <w:sz w:val="40"/>
          <w:szCs w:val="40"/>
        </w:rPr>
      </w:pPr>
    </w:p>
    <w:p w:rsidR="001A7E0E" w:rsidRDefault="001A7E0E" w:rsidP="00F867EC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</w:p>
    <w:p w:rsidR="003C127B" w:rsidRDefault="009F4EF2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lastRenderedPageBreak/>
        <w:pict>
          <v:roundrect id="_x0000_s1050" style="position:absolute;left:0;text-align:left;margin-left:41.55pt;margin-top:64.25pt;width:724.5pt;height:3.55pt;z-index:251676672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3C127B" w:rsidRPr="000F2472" w:rsidRDefault="003C127B" w:rsidP="003C127B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 w:rsidR="003C127B">
        <w:rPr>
          <w:rFonts w:ascii="Times New Roman" w:hAnsi="Times New Roman" w:cs="Times New Roman"/>
          <w:color w:val="7030A0"/>
          <w:sz w:val="52"/>
          <w:szCs w:val="52"/>
        </w:rPr>
        <w:t>Основы</w:t>
      </w:r>
      <w:r w:rsidR="003C127B" w:rsidRPr="00F867EC">
        <w:rPr>
          <w:rFonts w:ascii="Times New Roman" w:hAnsi="Times New Roman" w:cs="Times New Roman"/>
          <w:color w:val="7030A0"/>
          <w:sz w:val="52"/>
          <w:szCs w:val="52"/>
        </w:rPr>
        <w:t xml:space="preserve"> формирования бюджета на </w:t>
      </w:r>
      <w:r w:rsidR="003C127B">
        <w:rPr>
          <w:rFonts w:ascii="Times New Roman" w:hAnsi="Times New Roman" w:cs="Times New Roman"/>
          <w:color w:val="7030A0"/>
          <w:sz w:val="52"/>
          <w:szCs w:val="52"/>
        </w:rPr>
        <w:t>201</w:t>
      </w:r>
      <w:r w:rsidR="002E3448">
        <w:rPr>
          <w:rFonts w:ascii="Times New Roman" w:hAnsi="Times New Roman" w:cs="Times New Roman"/>
          <w:color w:val="7030A0"/>
          <w:sz w:val="52"/>
          <w:szCs w:val="52"/>
        </w:rPr>
        <w:t>9 год и на плановый период 2020 и 2021</w:t>
      </w:r>
      <w:r w:rsidR="003C127B" w:rsidRPr="00F867EC">
        <w:rPr>
          <w:rFonts w:ascii="Times New Roman" w:hAnsi="Times New Roman" w:cs="Times New Roman"/>
          <w:color w:val="7030A0"/>
          <w:sz w:val="52"/>
          <w:szCs w:val="52"/>
        </w:rPr>
        <w:t xml:space="preserve"> годов</w:t>
      </w:r>
    </w:p>
    <w:p w:rsidR="00746CAF" w:rsidRDefault="009F4EF2" w:rsidP="001A7E0E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roundrect id="_x0000_s1051" style="position:absolute;left:0;text-align:left;margin-left:15.3pt;margin-top:3.9pt;width:732.65pt;height:68.2pt;z-index:251677696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746CAF" w:rsidRPr="000F2472" w:rsidRDefault="00746CAF" w:rsidP="00746CAF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  <w:r>
                    <w:rPr>
                      <w:rFonts w:ascii="Georgia" w:hAnsi="Georgia"/>
                      <w:sz w:val="40"/>
                      <w:szCs w:val="40"/>
                    </w:rPr>
                    <w:t>Прогноз социально-экономического развития Горняц</w:t>
                  </w:r>
                  <w:r w:rsidR="002E3448">
                    <w:rPr>
                      <w:rFonts w:ascii="Georgia" w:hAnsi="Georgia"/>
                      <w:sz w:val="40"/>
                      <w:szCs w:val="40"/>
                    </w:rPr>
                    <w:t>кого сельского поселения на 2019-2021</w:t>
                  </w:r>
                  <w:r>
                    <w:rPr>
                      <w:rFonts w:ascii="Georgia" w:hAnsi="Georgia"/>
                      <w:sz w:val="40"/>
                      <w:szCs w:val="40"/>
                    </w:rPr>
                    <w:t xml:space="preserve"> годы</w:t>
                  </w:r>
                </w:p>
                <w:p w:rsidR="00746CAF" w:rsidRPr="000F2472" w:rsidRDefault="00746CAF" w:rsidP="00746CAF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746CAF" w:rsidRDefault="00746CAF" w:rsidP="001A7E0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C127B" w:rsidRDefault="009F4EF2" w:rsidP="001A7E0E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color w:val="7030A0"/>
          <w:sz w:val="52"/>
          <w:szCs w:val="52"/>
          <w:lang w:eastAsia="ru-RU"/>
        </w:rPr>
        <w:pict>
          <v:roundrect id="_x0000_s1048" style="position:absolute;left:0;text-align:left;margin-left:15.3pt;margin-top:9.95pt;width:742.5pt;height:88.95pt;z-index:251674624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1A7E0E" w:rsidRPr="000F2472" w:rsidRDefault="001A7E0E" w:rsidP="001A7E0E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Georgia" w:hAnsi="Georgia"/>
                      <w:sz w:val="40"/>
                      <w:szCs w:val="40"/>
                    </w:rPr>
                    <w:t>Основные направления бюджетной и налоговой политики Горняц</w:t>
                  </w:r>
                  <w:r w:rsidR="002E3448">
                    <w:rPr>
                      <w:rFonts w:ascii="Georgia" w:hAnsi="Georgia"/>
                      <w:sz w:val="40"/>
                      <w:szCs w:val="40"/>
                    </w:rPr>
                    <w:t>кого сельского поселения на 2019-2021</w:t>
                  </w:r>
                  <w:r w:rsidR="00F25A13">
                    <w:rPr>
                      <w:rFonts w:ascii="Georgia" w:hAnsi="Georgia"/>
                      <w:sz w:val="40"/>
                      <w:szCs w:val="40"/>
                    </w:rPr>
                    <w:t xml:space="preserve"> годы </w:t>
                  </w:r>
                  <w:r w:rsidR="002E3448">
                    <w:rPr>
                      <w:rFonts w:ascii="Georgia" w:hAnsi="Georgia"/>
                      <w:sz w:val="40"/>
                      <w:szCs w:val="40"/>
                    </w:rPr>
                    <w:t>(Постановление АГСП от 02.11</w:t>
                  </w:r>
                  <w:r>
                    <w:rPr>
                      <w:rFonts w:ascii="Georgia" w:hAnsi="Georgia"/>
                      <w:sz w:val="40"/>
                      <w:szCs w:val="40"/>
                    </w:rPr>
                    <w:t>.201</w:t>
                  </w:r>
                  <w:r w:rsidR="002E3448">
                    <w:rPr>
                      <w:rFonts w:ascii="Georgia" w:hAnsi="Georgia"/>
                      <w:sz w:val="40"/>
                      <w:szCs w:val="40"/>
                    </w:rPr>
                    <w:t>8</w:t>
                  </w:r>
                  <w:r>
                    <w:rPr>
                      <w:rFonts w:ascii="Georgia" w:hAnsi="Georgia"/>
                      <w:sz w:val="40"/>
                      <w:szCs w:val="40"/>
                    </w:rPr>
                    <w:t xml:space="preserve"> №</w:t>
                  </w:r>
                  <w:r w:rsidR="002E3448">
                    <w:rPr>
                      <w:rFonts w:ascii="Georgia" w:hAnsi="Georgia"/>
                      <w:sz w:val="40"/>
                      <w:szCs w:val="40"/>
                    </w:rPr>
                    <w:t>233</w:t>
                  </w:r>
                  <w:proofErr w:type="gramEnd"/>
                </w:p>
              </w:txbxContent>
            </v:textbox>
          </v:roundrect>
        </w:pict>
      </w:r>
    </w:p>
    <w:p w:rsidR="003C127B" w:rsidRDefault="003C127B" w:rsidP="001A7E0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C127B" w:rsidRDefault="009F4EF2" w:rsidP="003C127B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roundrect id="_x0000_s1049" style="position:absolute;left:0;text-align:left;margin-left:1.7pt;margin-top:40.5pt;width:746.25pt;height:79.4pt;z-index:251675648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3C127B" w:rsidRPr="000F2472" w:rsidRDefault="00746CAF" w:rsidP="003C127B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  <w:r>
                    <w:rPr>
                      <w:rFonts w:ascii="Georgia" w:hAnsi="Georgia"/>
                      <w:sz w:val="40"/>
                      <w:szCs w:val="40"/>
                    </w:rPr>
                    <w:t>Муниципальные программы Горняцкого сельского поселения</w:t>
                  </w:r>
                </w:p>
                <w:p w:rsidR="003C127B" w:rsidRPr="000F2472" w:rsidRDefault="003C127B" w:rsidP="003C127B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 w:rsidR="003C127B">
        <w:rPr>
          <w:rFonts w:ascii="Times New Roman" w:hAnsi="Times New Roman" w:cs="Times New Roman"/>
          <w:sz w:val="52"/>
          <w:szCs w:val="52"/>
        </w:rPr>
        <w:tab/>
      </w:r>
    </w:p>
    <w:p w:rsidR="003C127B" w:rsidRPr="000F2472" w:rsidRDefault="003C127B" w:rsidP="003C127B">
      <w:pPr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Муниципальные программы Горняцкого сельского поселения  на 2014-2016 годы</w:t>
      </w:r>
    </w:p>
    <w:p w:rsidR="003C127B" w:rsidRPr="00C72281" w:rsidRDefault="003C127B" w:rsidP="003C127B">
      <w:pPr>
        <w:jc w:val="center"/>
        <w:rPr>
          <w:rFonts w:ascii="Georgia" w:hAnsi="Georgia"/>
          <w:sz w:val="40"/>
          <w:szCs w:val="40"/>
        </w:rPr>
      </w:pPr>
    </w:p>
    <w:p w:rsidR="00F25A13" w:rsidRDefault="00F25A13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</w:p>
    <w:p w:rsidR="00F25A13" w:rsidRDefault="00F25A13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</w:p>
    <w:p w:rsidR="00746CAF" w:rsidRDefault="00B06962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  <w:r>
        <w:rPr>
          <w:rFonts w:ascii="Times New Roman" w:hAnsi="Times New Roman" w:cs="Times New Roman"/>
          <w:color w:val="7030A0"/>
          <w:sz w:val="52"/>
          <w:szCs w:val="52"/>
        </w:rPr>
        <w:lastRenderedPageBreak/>
        <w:t>Бюджет</w:t>
      </w:r>
    </w:p>
    <w:p w:rsidR="001A7E0E" w:rsidRDefault="001A7E0E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  <w:r w:rsidRPr="00F867EC">
        <w:rPr>
          <w:rFonts w:ascii="Times New Roman" w:hAnsi="Times New Roman" w:cs="Times New Roman"/>
          <w:color w:val="7030A0"/>
          <w:sz w:val="52"/>
          <w:szCs w:val="52"/>
        </w:rPr>
        <w:t xml:space="preserve"> на </w:t>
      </w:r>
      <w:r>
        <w:rPr>
          <w:rFonts w:ascii="Times New Roman" w:hAnsi="Times New Roman" w:cs="Times New Roman"/>
          <w:color w:val="7030A0"/>
          <w:sz w:val="52"/>
          <w:szCs w:val="52"/>
        </w:rPr>
        <w:t>201</w:t>
      </w:r>
      <w:r w:rsidR="002E3448">
        <w:rPr>
          <w:rFonts w:ascii="Times New Roman" w:hAnsi="Times New Roman" w:cs="Times New Roman"/>
          <w:color w:val="7030A0"/>
          <w:sz w:val="52"/>
          <w:szCs w:val="52"/>
        </w:rPr>
        <w:t>9 год и на плановый период 2020 и 2021</w:t>
      </w:r>
      <w:r w:rsidRPr="00F867EC">
        <w:rPr>
          <w:rFonts w:ascii="Times New Roman" w:hAnsi="Times New Roman" w:cs="Times New Roman"/>
          <w:color w:val="7030A0"/>
          <w:sz w:val="52"/>
          <w:szCs w:val="52"/>
        </w:rPr>
        <w:t xml:space="preserve"> годов</w:t>
      </w:r>
      <w:r w:rsidR="00746CAF">
        <w:rPr>
          <w:rFonts w:ascii="Times New Roman" w:hAnsi="Times New Roman" w:cs="Times New Roman"/>
          <w:color w:val="7030A0"/>
          <w:sz w:val="52"/>
          <w:szCs w:val="52"/>
        </w:rPr>
        <w:t xml:space="preserve"> направлен на решение следующих ключевых задач:</w:t>
      </w:r>
    </w:p>
    <w:p w:rsidR="00757D79" w:rsidRPr="00E15AAE" w:rsidRDefault="009F4EF2" w:rsidP="00B90BBC">
      <w:pPr>
        <w:rPr>
          <w:color w:val="7030A0"/>
          <w:sz w:val="72"/>
          <w:szCs w:val="72"/>
        </w:rPr>
      </w:pPr>
      <w:r>
        <w:rPr>
          <w:noProof/>
          <w:sz w:val="72"/>
          <w:szCs w:val="72"/>
          <w:lang w:eastAsia="ru-RU"/>
        </w:rPr>
        <w:pict>
          <v:roundrect id="_x0000_s1037" style="position:absolute;margin-left:13.05pt;margin-top:59.75pt;width:735.75pt;height:50.95pt;z-index:251664384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5B5F18" w:rsidRPr="008C002D" w:rsidRDefault="008C002D" w:rsidP="000F2472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п</w:t>
                  </w:r>
                  <w:r w:rsidR="00746CAF" w:rsidRPr="008C002D">
                    <w:rPr>
                      <w:rFonts w:ascii="Georgia" w:hAnsi="Georgia"/>
                      <w:sz w:val="28"/>
                      <w:szCs w:val="28"/>
                    </w:rPr>
                    <w:t>овышение эффективности бюджетной политики, в том числе за счет роста эфф</w:t>
                  </w: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ективности бюджетных расходов</w:t>
                  </w:r>
                </w:p>
              </w:txbxContent>
            </v:textbox>
          </v:roundrect>
        </w:pict>
      </w:r>
      <w:r>
        <w:rPr>
          <w:noProof/>
          <w:color w:val="7030A0"/>
          <w:sz w:val="72"/>
          <w:szCs w:val="72"/>
          <w:lang w:eastAsia="ru-RU"/>
        </w:rPr>
        <w:pict>
          <v:roundrect id="_x0000_s1036" style="position:absolute;margin-left:7.8pt;margin-top:2pt;width:746.25pt;height:42.75pt;z-index:251663360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F56EEE" w:rsidRPr="008C002D" w:rsidRDefault="008C002D" w:rsidP="000F2472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о</w:t>
                  </w:r>
                  <w:r w:rsidR="00746CAF" w:rsidRPr="008C002D">
                    <w:rPr>
                      <w:rFonts w:ascii="Georgia" w:hAnsi="Georgia"/>
                      <w:sz w:val="28"/>
                      <w:szCs w:val="28"/>
                    </w:rPr>
                    <w:t>беспечение устойчивости и сбалансированности бюджетной системы в целях гарантированного исполнения действующих принимаемых расходных обязательств</w:t>
                  </w:r>
                </w:p>
              </w:txbxContent>
            </v:textbox>
          </v:roundrect>
        </w:pict>
      </w:r>
    </w:p>
    <w:p w:rsidR="00757D79" w:rsidRDefault="00757D79" w:rsidP="00F56EEE">
      <w:pPr>
        <w:rPr>
          <w:sz w:val="72"/>
          <w:szCs w:val="72"/>
        </w:rPr>
      </w:pPr>
    </w:p>
    <w:p w:rsidR="00757D79" w:rsidRDefault="009F4EF2" w:rsidP="00F56EEE">
      <w:pPr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pict>
          <v:roundrect id="_x0000_s1038" style="position:absolute;margin-left:13.05pt;margin-top:13.6pt;width:741pt;height:44.25pt;z-index:251665408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0F2472" w:rsidRPr="008C002D" w:rsidRDefault="008C002D" w:rsidP="000F2472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соответствие финансовых возможностей Горняцкого сельского поселения ключевым направлениям развития</w:t>
                  </w:r>
                </w:p>
              </w:txbxContent>
            </v:textbox>
          </v:roundrect>
        </w:pict>
      </w:r>
    </w:p>
    <w:p w:rsidR="00757D79" w:rsidRDefault="009F4EF2" w:rsidP="00F56EEE">
      <w:pPr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pict>
          <v:roundrect id="_x0000_s1040" style="position:absolute;margin-left:7.8pt;margin-top:13.9pt;width:746.25pt;height:53.15pt;z-index:251666432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  <v:textbox>
              <w:txbxContent>
                <w:p w:rsidR="000F2472" w:rsidRPr="008C002D" w:rsidRDefault="008C002D" w:rsidP="00C72281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повышение роли бюджетной политики для поддержки экономического роста</w:t>
                  </w:r>
                </w:p>
              </w:txbxContent>
            </v:textbox>
          </v:roundrect>
        </w:pict>
      </w:r>
    </w:p>
    <w:p w:rsidR="00757D79" w:rsidRDefault="009F4EF2" w:rsidP="00F56EEE">
      <w:pPr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pict>
          <v:roundrect id="_x0000_s1041" style="position:absolute;margin-left:2.55pt;margin-top:20.05pt;width:746.25pt;height:56.25pt;z-index:251667456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0F2472" w:rsidRPr="008C002D" w:rsidRDefault="008C002D" w:rsidP="00C72281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повышение прозрачности и открытости бюджетного процесса</w:t>
                  </w:r>
                </w:p>
              </w:txbxContent>
            </v:textbox>
          </v:roundrect>
        </w:pict>
      </w:r>
    </w:p>
    <w:p w:rsidR="00757D79" w:rsidRDefault="00757D79" w:rsidP="0061527F">
      <w:pPr>
        <w:jc w:val="center"/>
        <w:rPr>
          <w:sz w:val="72"/>
          <w:szCs w:val="72"/>
        </w:rPr>
      </w:pPr>
    </w:p>
    <w:p w:rsidR="001268EE" w:rsidRPr="00B904CF" w:rsidRDefault="00945494" w:rsidP="00945494">
      <w:pPr>
        <w:jc w:val="center"/>
        <w:rPr>
          <w:rFonts w:ascii="Times New Roman" w:hAnsi="Times New Roman" w:cs="Times New Roman"/>
          <w:color w:val="C00000"/>
          <w:sz w:val="64"/>
          <w:szCs w:val="64"/>
        </w:rPr>
      </w:pPr>
      <w:r w:rsidRPr="00B904CF">
        <w:rPr>
          <w:rFonts w:ascii="Times New Roman" w:hAnsi="Times New Roman" w:cs="Times New Roman"/>
          <w:color w:val="C00000"/>
          <w:sz w:val="64"/>
          <w:szCs w:val="64"/>
        </w:rPr>
        <w:lastRenderedPageBreak/>
        <w:t>О</w:t>
      </w:r>
      <w:r w:rsidR="001268EE" w:rsidRPr="00B904CF">
        <w:rPr>
          <w:rFonts w:ascii="Times New Roman" w:hAnsi="Times New Roman" w:cs="Times New Roman"/>
          <w:color w:val="C00000"/>
          <w:sz w:val="64"/>
          <w:szCs w:val="64"/>
        </w:rPr>
        <w:t>сновные парам</w:t>
      </w:r>
      <w:r w:rsidR="00B06962">
        <w:rPr>
          <w:rFonts w:ascii="Times New Roman" w:hAnsi="Times New Roman" w:cs="Times New Roman"/>
          <w:color w:val="C00000"/>
          <w:sz w:val="64"/>
          <w:szCs w:val="64"/>
        </w:rPr>
        <w:t xml:space="preserve">етры </w:t>
      </w:r>
      <w:r w:rsidR="009F62E3" w:rsidRPr="00B904CF">
        <w:rPr>
          <w:rFonts w:ascii="Times New Roman" w:hAnsi="Times New Roman" w:cs="Times New Roman"/>
          <w:color w:val="C00000"/>
          <w:sz w:val="64"/>
          <w:szCs w:val="64"/>
        </w:rPr>
        <w:t>бюджета Горняцкого</w:t>
      </w:r>
      <w:r w:rsidR="001268EE" w:rsidRPr="00B904CF">
        <w:rPr>
          <w:rFonts w:ascii="Times New Roman" w:hAnsi="Times New Roman" w:cs="Times New Roman"/>
          <w:color w:val="C00000"/>
          <w:sz w:val="64"/>
          <w:szCs w:val="64"/>
        </w:rPr>
        <w:t xml:space="preserve"> сельского поселения </w:t>
      </w:r>
      <w:r w:rsidR="00982FC1">
        <w:rPr>
          <w:rFonts w:ascii="Times New Roman" w:hAnsi="Times New Roman" w:cs="Times New Roman"/>
          <w:color w:val="C00000"/>
          <w:sz w:val="64"/>
          <w:szCs w:val="64"/>
        </w:rPr>
        <w:t>Белокалитвинского района на 201</w:t>
      </w:r>
      <w:r w:rsidR="00FE50BB">
        <w:rPr>
          <w:rFonts w:ascii="Times New Roman" w:hAnsi="Times New Roman" w:cs="Times New Roman"/>
          <w:color w:val="C00000"/>
          <w:sz w:val="64"/>
          <w:szCs w:val="64"/>
        </w:rPr>
        <w:t>9</w:t>
      </w:r>
      <w:r w:rsidR="00E15AAE" w:rsidRPr="00B904CF">
        <w:rPr>
          <w:rFonts w:ascii="Times New Roman" w:hAnsi="Times New Roman" w:cs="Times New Roman"/>
          <w:color w:val="C00000"/>
          <w:sz w:val="64"/>
          <w:szCs w:val="64"/>
        </w:rPr>
        <w:t xml:space="preserve"> год и </w:t>
      </w:r>
      <w:r w:rsidR="00FE50BB">
        <w:rPr>
          <w:rFonts w:ascii="Times New Roman" w:hAnsi="Times New Roman" w:cs="Times New Roman"/>
          <w:color w:val="C00000"/>
          <w:sz w:val="64"/>
          <w:szCs w:val="64"/>
        </w:rPr>
        <w:t xml:space="preserve">  плановый период 2020 и 2021</w:t>
      </w:r>
      <w:r w:rsidR="001268EE" w:rsidRPr="00B904CF">
        <w:rPr>
          <w:rFonts w:ascii="Times New Roman" w:hAnsi="Times New Roman" w:cs="Times New Roman"/>
          <w:color w:val="C00000"/>
          <w:sz w:val="64"/>
          <w:szCs w:val="64"/>
        </w:rPr>
        <w:t xml:space="preserve"> годов.</w:t>
      </w:r>
    </w:p>
    <w:p w:rsidR="00C85E80" w:rsidRPr="00C85E80" w:rsidRDefault="00C85E80" w:rsidP="00C85E80">
      <w:pPr>
        <w:jc w:val="right"/>
        <w:rPr>
          <w:rFonts w:ascii="Georgia" w:hAnsi="Georgia"/>
          <w:sz w:val="28"/>
          <w:szCs w:val="28"/>
        </w:rPr>
      </w:pPr>
      <w:r w:rsidRPr="00C85E80">
        <w:rPr>
          <w:rFonts w:ascii="Georgia" w:hAnsi="Georgia"/>
          <w:sz w:val="28"/>
          <w:szCs w:val="28"/>
        </w:rPr>
        <w:t>(тыс. рублей)</w:t>
      </w:r>
    </w:p>
    <w:tbl>
      <w:tblPr>
        <w:tblStyle w:val="a5"/>
        <w:tblW w:w="14567" w:type="dxa"/>
        <w:tblLook w:val="04A0" w:firstRow="1" w:lastRow="0" w:firstColumn="1" w:lastColumn="0" w:noHBand="0" w:noVBand="1"/>
      </w:tblPr>
      <w:tblGrid>
        <w:gridCol w:w="4475"/>
        <w:gridCol w:w="2721"/>
        <w:gridCol w:w="2551"/>
        <w:gridCol w:w="2268"/>
        <w:gridCol w:w="2552"/>
      </w:tblGrid>
      <w:tr w:rsidR="00EA2789" w:rsidRPr="004C517A" w:rsidTr="00BF7BF1">
        <w:tc>
          <w:tcPr>
            <w:tcW w:w="4475" w:type="dxa"/>
            <w:shd w:val="clear" w:color="auto" w:fill="8DB3E2" w:themeFill="text2" w:themeFillTint="66"/>
          </w:tcPr>
          <w:p w:rsidR="00EA2789" w:rsidRPr="00F76AC8" w:rsidRDefault="00EA2789" w:rsidP="00A47613">
            <w:pPr>
              <w:shd w:val="clear" w:color="auto" w:fill="00B0F0"/>
              <w:rPr>
                <w:sz w:val="28"/>
                <w:szCs w:val="28"/>
              </w:rPr>
            </w:pPr>
            <w:r w:rsidRPr="00F76AC8">
              <w:rPr>
                <w:sz w:val="28"/>
                <w:szCs w:val="28"/>
              </w:rPr>
              <w:t>Показатель</w:t>
            </w:r>
          </w:p>
        </w:tc>
        <w:tc>
          <w:tcPr>
            <w:tcW w:w="2721" w:type="dxa"/>
            <w:shd w:val="clear" w:color="auto" w:fill="8DB3E2" w:themeFill="text2" w:themeFillTint="66"/>
          </w:tcPr>
          <w:p w:rsidR="00EA2789" w:rsidRPr="00F76AC8" w:rsidRDefault="00FE50BB" w:rsidP="00F76AC8">
            <w:pPr>
              <w:shd w:val="clear" w:color="auto" w:fill="00B0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EA2789">
              <w:rPr>
                <w:sz w:val="24"/>
                <w:szCs w:val="24"/>
              </w:rPr>
              <w:t>год</w:t>
            </w:r>
          </w:p>
          <w:p w:rsidR="00EA2789" w:rsidRPr="00F76AC8" w:rsidRDefault="00EA2789" w:rsidP="00A47613">
            <w:pPr>
              <w:shd w:val="clear" w:color="auto" w:fill="00B0F0"/>
              <w:jc w:val="right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8DB3E2" w:themeFill="text2" w:themeFillTint="66"/>
          </w:tcPr>
          <w:p w:rsidR="00EA2789" w:rsidRPr="00F76AC8" w:rsidRDefault="00FE50BB" w:rsidP="00F25A13">
            <w:pPr>
              <w:shd w:val="clear" w:color="auto" w:fill="00B0F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EA278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EA2789" w:rsidRPr="00F76AC8" w:rsidRDefault="00FE50BB" w:rsidP="00F25A13">
            <w:pPr>
              <w:shd w:val="clear" w:color="auto" w:fill="00B0F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A278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EA2789" w:rsidRPr="00F76AC8" w:rsidRDefault="00FE50BB" w:rsidP="00F25A13">
            <w:pPr>
              <w:shd w:val="clear" w:color="auto" w:fill="00B0F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EA2789">
              <w:rPr>
                <w:sz w:val="24"/>
                <w:szCs w:val="24"/>
              </w:rPr>
              <w:t xml:space="preserve"> год</w:t>
            </w:r>
          </w:p>
        </w:tc>
      </w:tr>
      <w:tr w:rsidR="00EA2789" w:rsidRPr="004C517A" w:rsidTr="00BF7BF1">
        <w:tc>
          <w:tcPr>
            <w:tcW w:w="4475" w:type="dxa"/>
          </w:tcPr>
          <w:p w:rsidR="00EA2789" w:rsidRPr="004C517A" w:rsidRDefault="00EA2789" w:rsidP="00A47613">
            <w:pPr>
              <w:shd w:val="clear" w:color="auto" w:fill="B6DDE8" w:themeFill="accent5" w:themeFillTint="66"/>
              <w:rPr>
                <w:sz w:val="40"/>
                <w:szCs w:val="40"/>
                <w:lang w:val="en-US"/>
              </w:rPr>
            </w:pPr>
          </w:p>
        </w:tc>
        <w:tc>
          <w:tcPr>
            <w:tcW w:w="2721" w:type="dxa"/>
            <w:shd w:val="clear" w:color="auto" w:fill="auto"/>
          </w:tcPr>
          <w:p w:rsidR="00EA2789" w:rsidRPr="00F76AC8" w:rsidRDefault="00EA2789" w:rsidP="00F32E78">
            <w:pPr>
              <w:shd w:val="clear" w:color="auto" w:fill="B6DDE8" w:themeFill="accent5" w:themeFillTint="66"/>
              <w:jc w:val="right"/>
              <w:rPr>
                <w:sz w:val="24"/>
                <w:szCs w:val="24"/>
              </w:rPr>
            </w:pPr>
            <w:r w:rsidRPr="00F76AC8">
              <w:rPr>
                <w:sz w:val="20"/>
                <w:szCs w:val="20"/>
              </w:rPr>
              <w:t>Решение</w:t>
            </w:r>
          </w:p>
        </w:tc>
        <w:tc>
          <w:tcPr>
            <w:tcW w:w="2551" w:type="dxa"/>
          </w:tcPr>
          <w:p w:rsidR="00EA2789" w:rsidRPr="00F76AC8" w:rsidRDefault="00D71CA4" w:rsidP="00A47613">
            <w:pPr>
              <w:shd w:val="clear" w:color="auto" w:fill="B6DDE8" w:themeFill="accent5" w:themeFillTint="66"/>
              <w:jc w:val="right"/>
              <w:rPr>
                <w:sz w:val="24"/>
                <w:szCs w:val="24"/>
              </w:rPr>
            </w:pPr>
            <w:r w:rsidRPr="00F76AC8">
              <w:rPr>
                <w:sz w:val="20"/>
                <w:szCs w:val="20"/>
              </w:rPr>
              <w:t>Решение</w:t>
            </w:r>
          </w:p>
        </w:tc>
        <w:tc>
          <w:tcPr>
            <w:tcW w:w="2268" w:type="dxa"/>
          </w:tcPr>
          <w:p w:rsidR="00EA2789" w:rsidRPr="00F76AC8" w:rsidRDefault="00EA2789" w:rsidP="00A47613">
            <w:pPr>
              <w:shd w:val="clear" w:color="auto" w:fill="B6DDE8" w:themeFill="accent5" w:themeFillTint="6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2552" w:type="dxa"/>
          </w:tcPr>
          <w:p w:rsidR="00EA2789" w:rsidRPr="00F76AC8" w:rsidRDefault="00EA2789" w:rsidP="00A47613">
            <w:pPr>
              <w:shd w:val="clear" w:color="auto" w:fill="B6DDE8" w:themeFill="accent5" w:themeFillTint="6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  <w:lang w:val="en-US"/>
              </w:rPr>
              <w:t>I</w:t>
            </w:r>
            <w:r w:rsidRPr="000C2E5D">
              <w:rPr>
                <w:b/>
                <w:sz w:val="28"/>
                <w:szCs w:val="28"/>
              </w:rPr>
              <w:t>.Доходы</w:t>
            </w:r>
          </w:p>
        </w:tc>
        <w:tc>
          <w:tcPr>
            <w:tcW w:w="2721" w:type="dxa"/>
          </w:tcPr>
          <w:p w:rsidR="00EA2789" w:rsidRPr="000C2E5D" w:rsidRDefault="00D71CA4" w:rsidP="00F867EC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32118,3</w:t>
            </w:r>
          </w:p>
        </w:tc>
        <w:tc>
          <w:tcPr>
            <w:tcW w:w="2551" w:type="dxa"/>
          </w:tcPr>
          <w:p w:rsidR="00EA2789" w:rsidRPr="000C2E5D" w:rsidRDefault="00FE50BB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27945,2</w:t>
            </w:r>
          </w:p>
        </w:tc>
        <w:tc>
          <w:tcPr>
            <w:tcW w:w="2268" w:type="dxa"/>
          </w:tcPr>
          <w:p w:rsidR="00EA2789" w:rsidRPr="000C2E5D" w:rsidRDefault="00FE50BB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87909,8</w:t>
            </w:r>
          </w:p>
        </w:tc>
        <w:tc>
          <w:tcPr>
            <w:tcW w:w="2552" w:type="dxa"/>
          </w:tcPr>
          <w:p w:rsidR="00EA2789" w:rsidRPr="000C2E5D" w:rsidRDefault="00FE50BB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15477,7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</w:rPr>
              <w:t>из них:</w:t>
            </w:r>
          </w:p>
        </w:tc>
        <w:tc>
          <w:tcPr>
            <w:tcW w:w="2721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721" w:type="dxa"/>
          </w:tcPr>
          <w:p w:rsidR="00EA2789" w:rsidRPr="000C2E5D" w:rsidRDefault="00D71CA4" w:rsidP="00BF7BF1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7272,7</w:t>
            </w:r>
          </w:p>
        </w:tc>
        <w:tc>
          <w:tcPr>
            <w:tcW w:w="2551" w:type="dxa"/>
          </w:tcPr>
          <w:p w:rsidR="00EA2789" w:rsidRPr="000C2E5D" w:rsidRDefault="00FE50BB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4138,5</w:t>
            </w:r>
          </w:p>
        </w:tc>
        <w:tc>
          <w:tcPr>
            <w:tcW w:w="2268" w:type="dxa"/>
          </w:tcPr>
          <w:p w:rsidR="00EA2789" w:rsidRPr="000C2E5D" w:rsidRDefault="00FE50BB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4398,0</w:t>
            </w:r>
          </w:p>
        </w:tc>
        <w:tc>
          <w:tcPr>
            <w:tcW w:w="2552" w:type="dxa"/>
          </w:tcPr>
          <w:p w:rsidR="00EA2789" w:rsidRPr="000C2E5D" w:rsidRDefault="00FE50BB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4673,2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721" w:type="dxa"/>
          </w:tcPr>
          <w:p w:rsidR="00EA2789" w:rsidRPr="000C2E5D" w:rsidRDefault="00D71CA4" w:rsidP="00F867EC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24845,6</w:t>
            </w:r>
          </w:p>
        </w:tc>
        <w:tc>
          <w:tcPr>
            <w:tcW w:w="2551" w:type="dxa"/>
          </w:tcPr>
          <w:p w:rsidR="00EA2789" w:rsidRPr="000C2E5D" w:rsidRDefault="00FE50BB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23806,7</w:t>
            </w:r>
          </w:p>
        </w:tc>
        <w:tc>
          <w:tcPr>
            <w:tcW w:w="2268" w:type="dxa"/>
          </w:tcPr>
          <w:p w:rsidR="00EA2789" w:rsidRPr="000C2E5D" w:rsidRDefault="00FE50BB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83511,8</w:t>
            </w:r>
          </w:p>
        </w:tc>
        <w:tc>
          <w:tcPr>
            <w:tcW w:w="2552" w:type="dxa"/>
          </w:tcPr>
          <w:p w:rsidR="00EA2789" w:rsidRPr="000C2E5D" w:rsidRDefault="00FE50BB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10804,5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  <w:lang w:val="en-US"/>
              </w:rPr>
              <w:t>II</w:t>
            </w:r>
            <w:r w:rsidRPr="000C2E5D">
              <w:rPr>
                <w:b/>
                <w:sz w:val="28"/>
                <w:szCs w:val="28"/>
              </w:rPr>
              <w:t>.Расходы, всего</w:t>
            </w:r>
          </w:p>
        </w:tc>
        <w:tc>
          <w:tcPr>
            <w:tcW w:w="2721" w:type="dxa"/>
          </w:tcPr>
          <w:p w:rsidR="00EA2789" w:rsidRPr="000C2E5D" w:rsidRDefault="00D71CA4" w:rsidP="00F867EC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38007,8</w:t>
            </w:r>
          </w:p>
        </w:tc>
        <w:tc>
          <w:tcPr>
            <w:tcW w:w="2551" w:type="dxa"/>
          </w:tcPr>
          <w:p w:rsidR="00EA2789" w:rsidRPr="000C2E5D" w:rsidRDefault="00D71CA4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29500,2</w:t>
            </w:r>
          </w:p>
        </w:tc>
        <w:tc>
          <w:tcPr>
            <w:tcW w:w="2268" w:type="dxa"/>
          </w:tcPr>
          <w:p w:rsidR="00EA2789" w:rsidRPr="000C2E5D" w:rsidRDefault="00D71CA4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87909,8</w:t>
            </w:r>
          </w:p>
        </w:tc>
        <w:tc>
          <w:tcPr>
            <w:tcW w:w="2552" w:type="dxa"/>
          </w:tcPr>
          <w:p w:rsidR="00EA2789" w:rsidRPr="000C2E5D" w:rsidRDefault="00D71CA4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15477,7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  <w:lang w:val="en-US"/>
              </w:rPr>
              <w:t>III</w:t>
            </w:r>
            <w:r w:rsidRPr="000C2E5D">
              <w:rPr>
                <w:b/>
                <w:sz w:val="28"/>
                <w:szCs w:val="28"/>
              </w:rPr>
              <w:t>.Дефицит (-), профицит (+)</w:t>
            </w:r>
          </w:p>
        </w:tc>
        <w:tc>
          <w:tcPr>
            <w:tcW w:w="2721" w:type="dxa"/>
          </w:tcPr>
          <w:p w:rsidR="00EA2789" w:rsidRPr="000C2E5D" w:rsidRDefault="00D71CA4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-5889,5</w:t>
            </w:r>
          </w:p>
        </w:tc>
        <w:tc>
          <w:tcPr>
            <w:tcW w:w="2551" w:type="dxa"/>
          </w:tcPr>
          <w:p w:rsidR="00EA2789" w:rsidRPr="000C2E5D" w:rsidRDefault="00C056F0" w:rsidP="00FE50BB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FE50BB">
              <w:rPr>
                <w:b/>
                <w:sz w:val="24"/>
                <w:szCs w:val="24"/>
              </w:rPr>
              <w:t>1555,0</w:t>
            </w:r>
          </w:p>
        </w:tc>
        <w:tc>
          <w:tcPr>
            <w:tcW w:w="2268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2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  <w:lang w:val="en-US"/>
              </w:rPr>
              <w:t>VI</w:t>
            </w:r>
            <w:r w:rsidRPr="000C2E5D">
              <w:rPr>
                <w:b/>
                <w:sz w:val="28"/>
                <w:szCs w:val="28"/>
              </w:rPr>
              <w:t>.Источники финансирования дефицита</w:t>
            </w:r>
          </w:p>
        </w:tc>
        <w:tc>
          <w:tcPr>
            <w:tcW w:w="2721" w:type="dxa"/>
          </w:tcPr>
          <w:p w:rsidR="00EA2789" w:rsidRPr="000C2E5D" w:rsidRDefault="00EA2789" w:rsidP="00F867EC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2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</w:tr>
    </w:tbl>
    <w:p w:rsidR="00945494" w:rsidRDefault="00945494" w:rsidP="00945494">
      <w:pPr>
        <w:jc w:val="center"/>
      </w:pPr>
    </w:p>
    <w:p w:rsidR="00F867EC" w:rsidRDefault="00F867EC" w:rsidP="0061527F">
      <w:pPr>
        <w:jc w:val="center"/>
        <w:rPr>
          <w:rFonts w:ascii="Georgia" w:hAnsi="Georgia"/>
          <w:color w:val="7030A0"/>
          <w:sz w:val="52"/>
          <w:szCs w:val="52"/>
        </w:rPr>
      </w:pPr>
    </w:p>
    <w:p w:rsidR="00BF7BF1" w:rsidRDefault="00BF7BF1" w:rsidP="0061527F">
      <w:pPr>
        <w:jc w:val="center"/>
        <w:rPr>
          <w:rFonts w:ascii="Georgia" w:hAnsi="Georgia"/>
          <w:color w:val="7030A0"/>
          <w:sz w:val="52"/>
          <w:szCs w:val="52"/>
        </w:rPr>
      </w:pPr>
    </w:p>
    <w:p w:rsidR="001268EE" w:rsidRDefault="004C7372" w:rsidP="0061527F">
      <w:pPr>
        <w:jc w:val="center"/>
        <w:rPr>
          <w:rFonts w:ascii="Georgia" w:hAnsi="Georgia"/>
          <w:color w:val="7030A0"/>
          <w:sz w:val="52"/>
          <w:szCs w:val="52"/>
        </w:rPr>
      </w:pPr>
      <w:r w:rsidRPr="00D9007A">
        <w:rPr>
          <w:rFonts w:ascii="Georgia" w:hAnsi="Georgia"/>
          <w:color w:val="7030A0"/>
          <w:sz w:val="52"/>
          <w:szCs w:val="52"/>
        </w:rPr>
        <w:lastRenderedPageBreak/>
        <w:t>Дина</w:t>
      </w:r>
      <w:r w:rsidR="00623AF7">
        <w:rPr>
          <w:rFonts w:ascii="Georgia" w:hAnsi="Georgia"/>
          <w:color w:val="7030A0"/>
          <w:sz w:val="52"/>
          <w:szCs w:val="52"/>
        </w:rPr>
        <w:t>мика доходов бюджета Горняцкого</w:t>
      </w:r>
      <w:r w:rsidRPr="00D9007A">
        <w:rPr>
          <w:rFonts w:ascii="Georgia" w:hAnsi="Georgia"/>
          <w:color w:val="7030A0"/>
          <w:sz w:val="52"/>
          <w:szCs w:val="52"/>
        </w:rPr>
        <w:t xml:space="preserve"> сельского </w:t>
      </w:r>
    </w:p>
    <w:p w:rsidR="00757D79" w:rsidRPr="00D9007A" w:rsidRDefault="004C7372" w:rsidP="0061527F">
      <w:pPr>
        <w:jc w:val="center"/>
        <w:rPr>
          <w:rFonts w:ascii="Georgia" w:hAnsi="Georgia"/>
          <w:color w:val="7030A0"/>
          <w:sz w:val="52"/>
          <w:szCs w:val="52"/>
        </w:rPr>
      </w:pPr>
      <w:r w:rsidRPr="00D9007A">
        <w:rPr>
          <w:rFonts w:ascii="Georgia" w:hAnsi="Georgia"/>
          <w:color w:val="7030A0"/>
          <w:sz w:val="52"/>
          <w:szCs w:val="52"/>
        </w:rPr>
        <w:t>поселения Белокалитвинского района</w:t>
      </w:r>
    </w:p>
    <w:p w:rsidR="004C7372" w:rsidRPr="004C7372" w:rsidRDefault="00DE0CDA" w:rsidP="0061527F">
      <w:pPr>
        <w:jc w:val="center"/>
        <w:rPr>
          <w:rFonts w:ascii="Georgia" w:hAnsi="Georgia"/>
          <w:sz w:val="52"/>
          <w:szCs w:val="52"/>
        </w:rPr>
      </w:pPr>
      <w:r>
        <w:rPr>
          <w:rFonts w:ascii="Georgia" w:hAnsi="Georgia"/>
          <w:noProof/>
          <w:sz w:val="52"/>
          <w:szCs w:val="52"/>
          <w:lang w:eastAsia="ru-RU"/>
        </w:rPr>
        <w:drawing>
          <wp:inline distT="0" distB="0" distL="0" distR="0" wp14:anchorId="01FE64FD" wp14:editId="1774E6AD">
            <wp:extent cx="6572250" cy="4219575"/>
            <wp:effectExtent l="57150" t="38100" r="38100" b="476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57D79" w:rsidRPr="004D4751" w:rsidRDefault="004D4751" w:rsidP="004D4751">
      <w:pPr>
        <w:pStyle w:val="a6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Областной бюджет</w:t>
      </w:r>
    </w:p>
    <w:p w:rsidR="00757D79" w:rsidRPr="004D4751" w:rsidRDefault="004D4751" w:rsidP="004D4751">
      <w:pPr>
        <w:pStyle w:val="a6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Местный бюджет</w:t>
      </w:r>
    </w:p>
    <w:p w:rsidR="000C2E5D" w:rsidRDefault="000C2E5D" w:rsidP="0061527F">
      <w:pPr>
        <w:jc w:val="center"/>
        <w:rPr>
          <w:rFonts w:ascii="Times New Roman" w:hAnsi="Times New Roman" w:cs="Times New Roman"/>
          <w:color w:val="0066FF"/>
          <w:sz w:val="48"/>
          <w:szCs w:val="48"/>
        </w:rPr>
      </w:pPr>
    </w:p>
    <w:p w:rsidR="005D1ACD" w:rsidRPr="00F867EC" w:rsidRDefault="00B436E9" w:rsidP="0061527F">
      <w:pPr>
        <w:jc w:val="center"/>
        <w:rPr>
          <w:rFonts w:ascii="Times New Roman" w:hAnsi="Times New Roman" w:cs="Times New Roman"/>
          <w:color w:val="0066FF"/>
          <w:sz w:val="48"/>
          <w:szCs w:val="48"/>
        </w:rPr>
      </w:pPr>
      <w:r w:rsidRPr="00F867EC">
        <w:rPr>
          <w:rFonts w:ascii="Times New Roman" w:hAnsi="Times New Roman" w:cs="Times New Roman"/>
          <w:color w:val="0066FF"/>
          <w:sz w:val="48"/>
          <w:szCs w:val="48"/>
        </w:rPr>
        <w:t>Структура собственных</w:t>
      </w:r>
      <w:r w:rsidR="00623AF7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доходов бюджета Горняцкого</w:t>
      </w:r>
      <w:r w:rsidR="006F0BF0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сельского поселения</w:t>
      </w:r>
      <w:r w:rsidR="005665A0">
        <w:rPr>
          <w:rFonts w:ascii="Times New Roman" w:hAnsi="Times New Roman" w:cs="Times New Roman"/>
          <w:color w:val="0066FF"/>
          <w:sz w:val="48"/>
          <w:szCs w:val="48"/>
        </w:rPr>
        <w:t xml:space="preserve"> </w:t>
      </w:r>
      <w:proofErr w:type="spellStart"/>
      <w:r w:rsidR="005665A0">
        <w:rPr>
          <w:rFonts w:ascii="Times New Roman" w:hAnsi="Times New Roman" w:cs="Times New Roman"/>
          <w:color w:val="0066FF"/>
          <w:sz w:val="48"/>
          <w:szCs w:val="48"/>
        </w:rPr>
        <w:t>Белокалитвинского</w:t>
      </w:r>
      <w:proofErr w:type="spellEnd"/>
      <w:r w:rsidR="005665A0">
        <w:rPr>
          <w:rFonts w:ascii="Times New Roman" w:hAnsi="Times New Roman" w:cs="Times New Roman"/>
          <w:color w:val="0066FF"/>
          <w:sz w:val="48"/>
          <w:szCs w:val="48"/>
        </w:rPr>
        <w:t xml:space="preserve"> района в 2019</w:t>
      </w:r>
      <w:r w:rsidR="006F0BF0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году</w:t>
      </w:r>
      <w:r w:rsidR="005D1ACD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 </w:t>
      </w:r>
    </w:p>
    <w:p w:rsidR="00757D79" w:rsidRDefault="005665A0" w:rsidP="00D9007A">
      <w:pPr>
        <w:jc w:val="center"/>
        <w:rPr>
          <w:sz w:val="72"/>
          <w:szCs w:val="72"/>
        </w:rPr>
      </w:pPr>
      <w:r>
        <w:rPr>
          <w:rFonts w:ascii="Times New Roman" w:hAnsi="Times New Roman" w:cs="Times New Roman"/>
          <w:color w:val="0066FF"/>
          <w:sz w:val="48"/>
          <w:szCs w:val="48"/>
        </w:rPr>
        <w:t>4138,5</w:t>
      </w:r>
      <w:r w:rsidR="005D1ACD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тыс.</w:t>
      </w:r>
      <w:r w:rsidR="00192A27">
        <w:rPr>
          <w:rFonts w:ascii="Times New Roman" w:hAnsi="Times New Roman" w:cs="Times New Roman"/>
          <w:color w:val="0066FF"/>
          <w:sz w:val="48"/>
          <w:szCs w:val="48"/>
        </w:rPr>
        <w:t xml:space="preserve"> </w:t>
      </w:r>
      <w:r w:rsidR="005D1ACD" w:rsidRPr="00F867EC">
        <w:rPr>
          <w:rFonts w:ascii="Times New Roman" w:hAnsi="Times New Roman" w:cs="Times New Roman"/>
          <w:color w:val="0066FF"/>
          <w:sz w:val="48"/>
          <w:szCs w:val="48"/>
        </w:rPr>
        <w:t>руб.</w:t>
      </w:r>
      <w:r w:rsidR="006F0BF0">
        <w:rPr>
          <w:noProof/>
          <w:sz w:val="72"/>
          <w:szCs w:val="72"/>
          <w:lang w:eastAsia="ru-RU"/>
        </w:rPr>
        <w:drawing>
          <wp:inline distT="0" distB="0" distL="0" distR="0">
            <wp:extent cx="8591550" cy="4343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45494" w:rsidRPr="00AF28FC" w:rsidRDefault="00945494" w:rsidP="0061527F">
      <w:pPr>
        <w:jc w:val="center"/>
        <w:rPr>
          <w:rFonts w:ascii="Times New Roman" w:hAnsi="Times New Roman" w:cs="Times New Roman"/>
          <w:color w:val="7030A0"/>
          <w:sz w:val="56"/>
          <w:szCs w:val="56"/>
        </w:rPr>
      </w:pPr>
      <w:r w:rsidRPr="00AF28FC">
        <w:rPr>
          <w:rFonts w:ascii="Times New Roman" w:hAnsi="Times New Roman" w:cs="Times New Roman"/>
          <w:color w:val="7030A0"/>
          <w:sz w:val="56"/>
          <w:szCs w:val="56"/>
        </w:rPr>
        <w:lastRenderedPageBreak/>
        <w:t>Динамика поступления налога на доходы физических лиц в части местного бюджета</w:t>
      </w:r>
      <w:r w:rsidR="00481EB7" w:rsidRPr="00AF28FC">
        <w:rPr>
          <w:rFonts w:ascii="Times New Roman" w:hAnsi="Times New Roman" w:cs="Times New Roman"/>
          <w:color w:val="7030A0"/>
          <w:sz w:val="56"/>
          <w:szCs w:val="56"/>
        </w:rPr>
        <w:t xml:space="preserve"> (тыс.</w:t>
      </w:r>
      <w:r w:rsidR="00C86E32">
        <w:rPr>
          <w:rFonts w:ascii="Times New Roman" w:hAnsi="Times New Roman" w:cs="Times New Roman"/>
          <w:color w:val="7030A0"/>
          <w:sz w:val="56"/>
          <w:szCs w:val="56"/>
        </w:rPr>
        <w:t xml:space="preserve"> </w:t>
      </w:r>
      <w:r w:rsidR="00481EB7" w:rsidRPr="00AF28FC">
        <w:rPr>
          <w:rFonts w:ascii="Times New Roman" w:hAnsi="Times New Roman" w:cs="Times New Roman"/>
          <w:color w:val="7030A0"/>
          <w:sz w:val="56"/>
          <w:szCs w:val="56"/>
        </w:rPr>
        <w:t>руб.)</w:t>
      </w:r>
    </w:p>
    <w:p w:rsidR="00945494" w:rsidRDefault="00945494" w:rsidP="0061527F">
      <w:pPr>
        <w:jc w:val="center"/>
      </w:pPr>
    </w:p>
    <w:p w:rsidR="00945494" w:rsidRDefault="00945494" w:rsidP="001A5C07">
      <w:r>
        <w:rPr>
          <w:noProof/>
          <w:lang w:eastAsia="ru-RU"/>
        </w:rPr>
        <w:drawing>
          <wp:inline distT="0" distB="0" distL="0" distR="0">
            <wp:extent cx="1810970" cy="3009900"/>
            <wp:effectExtent l="114300" t="76200" r="74980" b="76200"/>
            <wp:docPr id="16" name="Рисунок 15" descr="1349840392_dohody-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49840392_dohody-1[1]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970" cy="3009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1A5C07">
        <w:t xml:space="preserve">                         </w:t>
      </w:r>
      <w:r w:rsidR="001A5C07">
        <w:rPr>
          <w:noProof/>
          <w:lang w:eastAsia="ru-RU"/>
        </w:rPr>
        <w:drawing>
          <wp:inline distT="0" distB="0" distL="0" distR="0">
            <wp:extent cx="6324600" cy="3876675"/>
            <wp:effectExtent l="57150" t="0" r="38100" b="2857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45494" w:rsidRDefault="00945494" w:rsidP="0061527F">
      <w:pPr>
        <w:jc w:val="center"/>
      </w:pPr>
    </w:p>
    <w:p w:rsidR="00945494" w:rsidRDefault="00945494" w:rsidP="0061527F">
      <w:pPr>
        <w:jc w:val="center"/>
      </w:pPr>
    </w:p>
    <w:p w:rsidR="00945494" w:rsidRPr="005F7D75" w:rsidRDefault="00E15AAE" w:rsidP="0061527F">
      <w:pPr>
        <w:jc w:val="center"/>
        <w:rPr>
          <w:rFonts w:ascii="Georgia" w:hAnsi="Georgia"/>
          <w:color w:val="0000CC"/>
          <w:sz w:val="52"/>
          <w:szCs w:val="52"/>
        </w:rPr>
      </w:pPr>
      <w:r w:rsidRPr="005F7D75">
        <w:rPr>
          <w:rFonts w:ascii="Georgia" w:hAnsi="Georgia"/>
          <w:color w:val="0000CC"/>
          <w:sz w:val="52"/>
          <w:szCs w:val="52"/>
        </w:rPr>
        <w:lastRenderedPageBreak/>
        <w:t>Безвозмездные поступления в бюджет</w:t>
      </w:r>
      <w:r w:rsidR="00847E1A">
        <w:rPr>
          <w:rFonts w:ascii="Georgia" w:hAnsi="Georgia"/>
          <w:color w:val="0000CC"/>
          <w:sz w:val="52"/>
          <w:szCs w:val="52"/>
        </w:rPr>
        <w:t xml:space="preserve"> Горняцкого</w:t>
      </w:r>
      <w:r w:rsidRPr="005F7D75">
        <w:rPr>
          <w:rFonts w:ascii="Georgia" w:hAnsi="Georgia"/>
          <w:color w:val="0000CC"/>
          <w:sz w:val="52"/>
          <w:szCs w:val="52"/>
        </w:rPr>
        <w:t xml:space="preserve"> сельского поселения Белокалитвинского района </w:t>
      </w:r>
    </w:p>
    <w:p w:rsidR="005540B6" w:rsidRPr="00481EB7" w:rsidRDefault="00481EB7" w:rsidP="0061527F">
      <w:pPr>
        <w:jc w:val="center"/>
        <w:rPr>
          <w:rFonts w:ascii="Georgia" w:hAnsi="Georgia"/>
          <w:color w:val="1F497D" w:themeColor="text2"/>
          <w:sz w:val="52"/>
          <w:szCs w:val="52"/>
        </w:rPr>
      </w:pPr>
      <w:r w:rsidRPr="00481EB7">
        <w:rPr>
          <w:rFonts w:ascii="Georgia" w:hAnsi="Georgia"/>
          <w:color w:val="1F497D" w:themeColor="text2"/>
          <w:sz w:val="52"/>
          <w:szCs w:val="52"/>
        </w:rPr>
        <w:t>тыс.</w:t>
      </w:r>
      <w:r w:rsidR="00CA5525">
        <w:rPr>
          <w:rFonts w:ascii="Georgia" w:hAnsi="Georgia"/>
          <w:color w:val="1F497D" w:themeColor="text2"/>
          <w:sz w:val="52"/>
          <w:szCs w:val="52"/>
        </w:rPr>
        <w:t xml:space="preserve"> </w:t>
      </w:r>
      <w:r w:rsidRPr="00481EB7">
        <w:rPr>
          <w:rFonts w:ascii="Georgia" w:hAnsi="Georgia"/>
          <w:color w:val="1F497D" w:themeColor="text2"/>
          <w:sz w:val="52"/>
          <w:szCs w:val="52"/>
        </w:rPr>
        <w:t>руб.</w:t>
      </w:r>
    </w:p>
    <w:p w:rsidR="00945494" w:rsidRDefault="00E15AAE" w:rsidP="005F7D75">
      <w:r>
        <w:rPr>
          <w:noProof/>
          <w:lang w:eastAsia="ru-RU"/>
        </w:rPr>
        <w:drawing>
          <wp:inline distT="0" distB="0" distL="0" distR="0">
            <wp:extent cx="6010275" cy="382905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5540B6">
        <w:rPr>
          <w:noProof/>
          <w:lang w:eastAsia="ru-RU"/>
        </w:rPr>
        <w:drawing>
          <wp:inline distT="0" distB="0" distL="0" distR="0">
            <wp:extent cx="2705100" cy="3208856"/>
            <wp:effectExtent l="133350" t="76200" r="114300" b="86794"/>
            <wp:docPr id="21" name="Рисунок 20" descr="zaymi-i-kredi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ymi-i-kredit[1]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20885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D1066" w:rsidRDefault="009D1066" w:rsidP="0061527F">
      <w:pPr>
        <w:jc w:val="center"/>
        <w:rPr>
          <w:rFonts w:ascii="Times New Roman" w:hAnsi="Times New Roman" w:cs="Times New Roman"/>
          <w:color w:val="0D0D0D" w:themeColor="text1" w:themeTint="F2"/>
          <w:sz w:val="52"/>
          <w:szCs w:val="52"/>
        </w:rPr>
      </w:pPr>
    </w:p>
    <w:p w:rsidR="00AF28FC" w:rsidRDefault="005F7D75" w:rsidP="0061527F">
      <w:pPr>
        <w:jc w:val="center"/>
        <w:rPr>
          <w:rFonts w:ascii="Times New Roman" w:hAnsi="Times New Roman" w:cs="Times New Roman"/>
          <w:color w:val="0D0D0D" w:themeColor="text1" w:themeTint="F2"/>
          <w:sz w:val="52"/>
          <w:szCs w:val="52"/>
        </w:rPr>
      </w:pPr>
      <w:r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lastRenderedPageBreak/>
        <w:t xml:space="preserve">Динамика расходов </w:t>
      </w:r>
      <w:r w:rsidR="00847E1A"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>бюджета Горняцкого</w:t>
      </w:r>
      <w:r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 xml:space="preserve"> сельского поселения Белокалитвинского района </w:t>
      </w:r>
    </w:p>
    <w:p w:rsidR="00945494" w:rsidRPr="00AF28FC" w:rsidRDefault="00B94C55" w:rsidP="0061527F">
      <w:pPr>
        <w:jc w:val="center"/>
        <w:rPr>
          <w:rFonts w:ascii="Times New Roman" w:hAnsi="Times New Roman" w:cs="Times New Roman"/>
          <w:color w:val="0D0D0D" w:themeColor="text1" w:themeTint="F2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 wp14:anchorId="0BB47264" wp14:editId="24950E44">
            <wp:extent cx="8343900" cy="3819525"/>
            <wp:effectExtent l="57150" t="38100" r="38100" b="4762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481EB7"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 xml:space="preserve">       тыс.</w:t>
      </w:r>
      <w:r w:rsidR="00F54888">
        <w:rPr>
          <w:rFonts w:ascii="Times New Roman" w:hAnsi="Times New Roman" w:cs="Times New Roman"/>
          <w:color w:val="0D0D0D" w:themeColor="text1" w:themeTint="F2"/>
          <w:sz w:val="52"/>
          <w:szCs w:val="52"/>
        </w:rPr>
        <w:t xml:space="preserve"> </w:t>
      </w:r>
      <w:r w:rsidR="00481EB7"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>руб.</w:t>
      </w:r>
    </w:p>
    <w:p w:rsidR="00945494" w:rsidRDefault="00945494" w:rsidP="000F3485">
      <w:pPr>
        <w:jc w:val="right"/>
      </w:pPr>
    </w:p>
    <w:p w:rsidR="00945494" w:rsidRDefault="00945494" w:rsidP="0061527F">
      <w:pPr>
        <w:jc w:val="center"/>
      </w:pPr>
    </w:p>
    <w:p w:rsidR="00A4627F" w:rsidRDefault="00A4627F" w:rsidP="0061527F">
      <w:pPr>
        <w:jc w:val="center"/>
      </w:pPr>
    </w:p>
    <w:p w:rsidR="00945494" w:rsidRPr="00AF28FC" w:rsidRDefault="00847E1A" w:rsidP="00BF5BF4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AF28FC">
        <w:rPr>
          <w:rFonts w:ascii="Times New Roman" w:hAnsi="Times New Roman" w:cs="Times New Roman"/>
          <w:color w:val="C00000"/>
          <w:sz w:val="40"/>
          <w:szCs w:val="40"/>
        </w:rPr>
        <w:lastRenderedPageBreak/>
        <w:t>Расходы бюджета Горняцкого</w:t>
      </w:r>
      <w:r w:rsidR="009645B8" w:rsidRPr="00AF28FC">
        <w:rPr>
          <w:rFonts w:ascii="Times New Roman" w:hAnsi="Times New Roman" w:cs="Times New Roman"/>
          <w:color w:val="C00000"/>
          <w:sz w:val="40"/>
          <w:szCs w:val="40"/>
        </w:rPr>
        <w:t xml:space="preserve"> сельского поселения</w:t>
      </w:r>
      <w:r w:rsidR="00C33A69">
        <w:rPr>
          <w:rFonts w:ascii="Times New Roman" w:hAnsi="Times New Roman" w:cs="Times New Roman"/>
          <w:color w:val="C00000"/>
          <w:sz w:val="40"/>
          <w:szCs w:val="40"/>
        </w:rPr>
        <w:t xml:space="preserve"> </w:t>
      </w:r>
      <w:proofErr w:type="spellStart"/>
      <w:r w:rsidR="00C33A69">
        <w:rPr>
          <w:rFonts w:ascii="Times New Roman" w:hAnsi="Times New Roman" w:cs="Times New Roman"/>
          <w:color w:val="C00000"/>
          <w:sz w:val="40"/>
          <w:szCs w:val="40"/>
        </w:rPr>
        <w:t>Белокалитвинского</w:t>
      </w:r>
      <w:proofErr w:type="spellEnd"/>
      <w:r w:rsidR="00C33A69">
        <w:rPr>
          <w:rFonts w:ascii="Times New Roman" w:hAnsi="Times New Roman" w:cs="Times New Roman"/>
          <w:color w:val="C00000"/>
          <w:sz w:val="40"/>
          <w:szCs w:val="40"/>
        </w:rPr>
        <w:t xml:space="preserve"> района в 201</w:t>
      </w:r>
      <w:r w:rsidR="00800740">
        <w:rPr>
          <w:rFonts w:ascii="Times New Roman" w:hAnsi="Times New Roman" w:cs="Times New Roman"/>
          <w:color w:val="C00000"/>
          <w:sz w:val="40"/>
          <w:szCs w:val="40"/>
        </w:rPr>
        <w:t>9</w:t>
      </w:r>
      <w:r w:rsidR="009645B8" w:rsidRPr="00AF28FC">
        <w:rPr>
          <w:rFonts w:ascii="Times New Roman" w:hAnsi="Times New Roman" w:cs="Times New Roman"/>
          <w:color w:val="C00000"/>
          <w:sz w:val="40"/>
          <w:szCs w:val="40"/>
        </w:rPr>
        <w:t xml:space="preserve"> году</w:t>
      </w:r>
    </w:p>
    <w:p w:rsidR="009645B8" w:rsidRPr="00BF5BF4" w:rsidRDefault="00800740" w:rsidP="00BF5BF4">
      <w:pPr>
        <w:tabs>
          <w:tab w:val="center" w:pos="7285"/>
          <w:tab w:val="left" w:pos="8655"/>
        </w:tabs>
        <w:rPr>
          <w:sz w:val="36"/>
          <w:szCs w:val="36"/>
        </w:rPr>
      </w:pPr>
      <w:r>
        <w:rPr>
          <w:sz w:val="36"/>
          <w:szCs w:val="36"/>
        </w:rPr>
        <w:t>29500</w:t>
      </w:r>
      <w:r w:rsidR="00D82748">
        <w:rPr>
          <w:sz w:val="36"/>
          <w:szCs w:val="36"/>
        </w:rPr>
        <w:t>,2</w:t>
      </w:r>
      <w:r w:rsidR="009645B8" w:rsidRPr="00BF5BF4">
        <w:rPr>
          <w:sz w:val="36"/>
          <w:szCs w:val="36"/>
        </w:rPr>
        <w:t xml:space="preserve"> тыс. рублей</w:t>
      </w:r>
      <w:r w:rsidR="009645B8" w:rsidRPr="00BF5BF4">
        <w:rPr>
          <w:sz w:val="36"/>
          <w:szCs w:val="36"/>
        </w:rPr>
        <w:tab/>
      </w:r>
    </w:p>
    <w:p w:rsidR="00945494" w:rsidRDefault="00945494" w:rsidP="0061527F">
      <w:pPr>
        <w:jc w:val="center"/>
      </w:pPr>
    </w:p>
    <w:p w:rsidR="00945494" w:rsidRDefault="009645B8" w:rsidP="0061527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543925" cy="4267200"/>
            <wp:effectExtent l="57150" t="19050" r="28575" b="3810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45494" w:rsidRPr="00355C86" w:rsidRDefault="00087B71" w:rsidP="0061527F">
      <w:pPr>
        <w:jc w:val="center"/>
        <w:rPr>
          <w:rFonts w:ascii="Georgia" w:hAnsi="Georgia"/>
          <w:color w:val="FF0000"/>
          <w:sz w:val="40"/>
          <w:szCs w:val="40"/>
        </w:rPr>
      </w:pPr>
      <w:r w:rsidRPr="00355C86">
        <w:rPr>
          <w:rFonts w:ascii="Georgia" w:hAnsi="Georgia"/>
          <w:color w:val="FF0000"/>
          <w:sz w:val="40"/>
          <w:szCs w:val="40"/>
        </w:rPr>
        <w:lastRenderedPageBreak/>
        <w:t>Динам</w:t>
      </w:r>
      <w:r w:rsidR="00847E1A">
        <w:rPr>
          <w:rFonts w:ascii="Georgia" w:hAnsi="Georgia"/>
          <w:color w:val="FF0000"/>
          <w:sz w:val="40"/>
          <w:szCs w:val="40"/>
        </w:rPr>
        <w:t>ика расходов бюджета Горняцкого</w:t>
      </w:r>
      <w:r w:rsidRPr="00355C86">
        <w:rPr>
          <w:rFonts w:ascii="Georgia" w:hAnsi="Georgia"/>
          <w:color w:val="FF0000"/>
          <w:sz w:val="40"/>
          <w:szCs w:val="40"/>
        </w:rPr>
        <w:t xml:space="preserve"> сельского поселения Белокалитвинского района</w:t>
      </w:r>
      <w:r w:rsidR="00355C86">
        <w:rPr>
          <w:rFonts w:ascii="Georgia" w:hAnsi="Georgia"/>
          <w:color w:val="FF0000"/>
          <w:sz w:val="40"/>
          <w:szCs w:val="40"/>
        </w:rPr>
        <w:t xml:space="preserve"> на культуру</w:t>
      </w:r>
    </w:p>
    <w:p w:rsidR="00945494" w:rsidRDefault="00355C86" w:rsidP="00B66E2C">
      <w:r>
        <w:rPr>
          <w:noProof/>
          <w:lang w:eastAsia="ru-RU"/>
        </w:rPr>
        <w:drawing>
          <wp:inline distT="0" distB="0" distL="0" distR="0">
            <wp:extent cx="8801100" cy="333375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45494" w:rsidRDefault="00945494" w:rsidP="0061527F">
      <w:pPr>
        <w:jc w:val="center"/>
      </w:pPr>
    </w:p>
    <w:p w:rsidR="00945494" w:rsidRDefault="00945494" w:rsidP="00B66E2C"/>
    <w:p w:rsidR="00AF28FC" w:rsidRDefault="00AF28FC" w:rsidP="0061527F">
      <w:pPr>
        <w:jc w:val="center"/>
        <w:rPr>
          <w:rFonts w:ascii="Georgia" w:hAnsi="Georgia"/>
          <w:color w:val="FF0000"/>
          <w:sz w:val="72"/>
          <w:szCs w:val="72"/>
        </w:rPr>
      </w:pPr>
    </w:p>
    <w:p w:rsidR="00C33A69" w:rsidRDefault="00C33A69" w:rsidP="0061527F">
      <w:pPr>
        <w:jc w:val="center"/>
        <w:rPr>
          <w:rFonts w:ascii="Georgia" w:hAnsi="Georgia"/>
          <w:color w:val="FF0000"/>
          <w:sz w:val="72"/>
          <w:szCs w:val="72"/>
        </w:rPr>
      </w:pPr>
    </w:p>
    <w:p w:rsidR="00945494" w:rsidRPr="00D835D2" w:rsidRDefault="0037184D" w:rsidP="0061527F">
      <w:pPr>
        <w:jc w:val="center"/>
        <w:rPr>
          <w:rFonts w:ascii="Georgia" w:hAnsi="Georgia"/>
          <w:color w:val="FF0000"/>
          <w:sz w:val="72"/>
          <w:szCs w:val="72"/>
        </w:rPr>
      </w:pPr>
      <w:r w:rsidRPr="00D835D2">
        <w:rPr>
          <w:rFonts w:ascii="Georgia" w:hAnsi="Georgia"/>
          <w:color w:val="FF0000"/>
          <w:sz w:val="72"/>
          <w:szCs w:val="72"/>
        </w:rPr>
        <w:lastRenderedPageBreak/>
        <w:t>Культура и кинематография</w:t>
      </w:r>
    </w:p>
    <w:p w:rsidR="00A4627F" w:rsidRDefault="00A4627F"/>
    <w:p w:rsidR="00945494" w:rsidRDefault="00BC746F" w:rsidP="0061527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001000" cy="4972050"/>
            <wp:effectExtent l="0" t="0" r="57150" b="0"/>
            <wp:docPr id="30" name="Схема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945494" w:rsidRPr="00365EF5" w:rsidRDefault="00CB393F" w:rsidP="0061527F">
      <w:pPr>
        <w:jc w:val="center"/>
        <w:rPr>
          <w:rFonts w:ascii="Georgia" w:hAnsi="Georgia"/>
          <w:color w:val="FF0000"/>
          <w:sz w:val="52"/>
          <w:szCs w:val="52"/>
        </w:rPr>
      </w:pPr>
      <w:r>
        <w:rPr>
          <w:rFonts w:ascii="Georgia" w:hAnsi="Georgia"/>
          <w:color w:val="FF0000"/>
          <w:sz w:val="52"/>
          <w:szCs w:val="52"/>
        </w:rPr>
        <w:lastRenderedPageBreak/>
        <w:t>Расходы бюджета Горняцкого</w:t>
      </w:r>
      <w:r w:rsidR="00365EF5" w:rsidRPr="00365EF5">
        <w:rPr>
          <w:rFonts w:ascii="Georgia" w:hAnsi="Georgia"/>
          <w:color w:val="FF0000"/>
          <w:sz w:val="52"/>
          <w:szCs w:val="52"/>
        </w:rPr>
        <w:t xml:space="preserve"> сельского поселения Белокалитвинского района на реали</w:t>
      </w:r>
      <w:r w:rsidR="002F3985">
        <w:rPr>
          <w:rFonts w:ascii="Georgia" w:hAnsi="Georgia"/>
          <w:color w:val="FF0000"/>
          <w:sz w:val="52"/>
          <w:szCs w:val="52"/>
        </w:rPr>
        <w:t xml:space="preserve">зацию муниципальных </w:t>
      </w:r>
      <w:r w:rsidR="00365EF5" w:rsidRPr="00365EF5">
        <w:rPr>
          <w:rFonts w:ascii="Georgia" w:hAnsi="Georgia"/>
          <w:color w:val="FF0000"/>
          <w:sz w:val="52"/>
          <w:szCs w:val="52"/>
        </w:rPr>
        <w:t xml:space="preserve"> целевых программ</w:t>
      </w:r>
    </w:p>
    <w:p w:rsidR="00005171" w:rsidRDefault="00365EF5" w:rsidP="00365EF5">
      <w:pPr>
        <w:rPr>
          <w:sz w:val="32"/>
          <w:szCs w:val="32"/>
        </w:rPr>
      </w:pPr>
      <w:r w:rsidRPr="00365EF5">
        <w:rPr>
          <w:sz w:val="32"/>
          <w:szCs w:val="32"/>
        </w:rPr>
        <w:t>Тыс. рублей</w:t>
      </w:r>
    </w:p>
    <w:p w:rsidR="00005171" w:rsidRDefault="00005171" w:rsidP="00005171">
      <w:pPr>
        <w:rPr>
          <w:sz w:val="32"/>
          <w:szCs w:val="32"/>
        </w:rPr>
      </w:pPr>
    </w:p>
    <w:p w:rsidR="00945494" w:rsidRDefault="00005171" w:rsidP="00005171">
      <w:pPr>
        <w:tabs>
          <w:tab w:val="left" w:pos="1065"/>
        </w:tabs>
      </w:pPr>
      <w:r>
        <w:rPr>
          <w:sz w:val="32"/>
          <w:szCs w:val="32"/>
        </w:rPr>
        <w:tab/>
      </w:r>
      <w:r w:rsidR="00CA7913">
        <w:rPr>
          <w:noProof/>
          <w:lang w:eastAsia="ru-RU"/>
        </w:rPr>
        <w:drawing>
          <wp:inline distT="0" distB="0" distL="0" distR="0" wp14:anchorId="5BE0AFBC" wp14:editId="55C299F6">
            <wp:extent cx="7324725" cy="4057650"/>
            <wp:effectExtent l="19050" t="0" r="9525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945494" w:rsidRPr="00D94CDE" w:rsidRDefault="00D94CDE" w:rsidP="0061527F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D94CDE">
        <w:rPr>
          <w:rFonts w:ascii="Times New Roman" w:hAnsi="Times New Roman" w:cs="Times New Roman"/>
          <w:color w:val="C00000"/>
          <w:sz w:val="36"/>
          <w:szCs w:val="36"/>
        </w:rPr>
        <w:lastRenderedPageBreak/>
        <w:t>Объем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межбюджетных трансфертов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>,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>перечисляемых из местного бюджета бюджету Белокалитвинского района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на финансирование расходов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>,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>связанных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с передачей </w:t>
      </w:r>
      <w:proofErr w:type="gramStart"/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>осуществления части полномочий органов мес</w:t>
      </w:r>
      <w:r w:rsidRPr="00D94CDE">
        <w:rPr>
          <w:rFonts w:ascii="Times New Roman" w:hAnsi="Times New Roman" w:cs="Times New Roman"/>
          <w:color w:val="C00000"/>
          <w:sz w:val="36"/>
          <w:szCs w:val="36"/>
        </w:rPr>
        <w:t>тного самоуправления Горняцкого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сельского поселения</w:t>
      </w:r>
      <w:proofErr w:type="gramEnd"/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органам местного самоуправления Белокалитвинского района  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</w:p>
    <w:p w:rsidR="00945494" w:rsidRDefault="00945494" w:rsidP="0061527F">
      <w:pPr>
        <w:jc w:val="center"/>
      </w:pP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10456"/>
        <w:gridCol w:w="1134"/>
        <w:gridCol w:w="1134"/>
        <w:gridCol w:w="1134"/>
        <w:gridCol w:w="1134"/>
      </w:tblGrid>
      <w:tr w:rsidR="00641EE9" w:rsidRPr="00641EE9" w:rsidTr="0014432D">
        <w:tc>
          <w:tcPr>
            <w:tcW w:w="10456" w:type="dxa"/>
            <w:shd w:val="clear" w:color="auto" w:fill="C2D69B" w:themeFill="accent3" w:themeFillTint="99"/>
          </w:tcPr>
          <w:p w:rsidR="00E40DA7" w:rsidRPr="00C706DD" w:rsidRDefault="00E40DA7" w:rsidP="00641EE9">
            <w:pPr>
              <w:jc w:val="center"/>
              <w:rPr>
                <w:color w:val="1E04BC"/>
                <w:sz w:val="28"/>
                <w:szCs w:val="28"/>
              </w:rPr>
            </w:pPr>
            <w:r w:rsidRPr="00C706DD">
              <w:rPr>
                <w:color w:val="1E04BC"/>
                <w:sz w:val="28"/>
                <w:szCs w:val="28"/>
              </w:rPr>
              <w:t>Наименование передоваемого полномочия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641EE9" w:rsidRPr="00C706DD" w:rsidRDefault="00172445" w:rsidP="0061527F">
            <w:pPr>
              <w:jc w:val="center"/>
              <w:rPr>
                <w:color w:val="1E04BC"/>
                <w:sz w:val="28"/>
                <w:szCs w:val="28"/>
              </w:rPr>
            </w:pPr>
            <w:r w:rsidRPr="00C706DD">
              <w:rPr>
                <w:color w:val="1E04BC"/>
                <w:sz w:val="28"/>
                <w:szCs w:val="28"/>
              </w:rPr>
              <w:t>2018</w:t>
            </w:r>
          </w:p>
          <w:p w:rsidR="00E40DA7" w:rsidRPr="00C706DD" w:rsidRDefault="00E40DA7" w:rsidP="0061527F">
            <w:pPr>
              <w:jc w:val="center"/>
              <w:rPr>
                <w:color w:val="1E04BC"/>
                <w:sz w:val="28"/>
                <w:szCs w:val="28"/>
              </w:rPr>
            </w:pPr>
            <w:r w:rsidRPr="00C706DD">
              <w:rPr>
                <w:color w:val="1E04BC"/>
                <w:sz w:val="28"/>
                <w:szCs w:val="28"/>
              </w:rPr>
              <w:t>год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E40DA7" w:rsidRPr="00C706DD" w:rsidRDefault="00172445" w:rsidP="0061527F">
            <w:pPr>
              <w:jc w:val="center"/>
              <w:rPr>
                <w:color w:val="1E04BC"/>
                <w:sz w:val="28"/>
                <w:szCs w:val="28"/>
              </w:rPr>
            </w:pPr>
            <w:r w:rsidRPr="00C706DD">
              <w:rPr>
                <w:color w:val="1E04BC"/>
                <w:sz w:val="28"/>
                <w:szCs w:val="28"/>
              </w:rPr>
              <w:t>2019</w:t>
            </w:r>
            <w:r w:rsidR="00E40DA7" w:rsidRPr="00C706DD">
              <w:rPr>
                <w:color w:val="1E04BC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E40DA7" w:rsidRPr="00C706DD" w:rsidRDefault="00172445" w:rsidP="0061527F">
            <w:pPr>
              <w:jc w:val="center"/>
              <w:rPr>
                <w:color w:val="1E04BC"/>
                <w:sz w:val="28"/>
                <w:szCs w:val="28"/>
              </w:rPr>
            </w:pPr>
            <w:r w:rsidRPr="00C706DD">
              <w:rPr>
                <w:color w:val="1E04BC"/>
                <w:sz w:val="28"/>
                <w:szCs w:val="28"/>
              </w:rPr>
              <w:t>2020</w:t>
            </w:r>
            <w:r w:rsidR="00E40DA7" w:rsidRPr="00C706DD">
              <w:rPr>
                <w:color w:val="1E04BC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E40DA7" w:rsidRPr="00C706DD" w:rsidRDefault="00172445" w:rsidP="0061527F">
            <w:pPr>
              <w:jc w:val="center"/>
              <w:rPr>
                <w:color w:val="1E04BC"/>
                <w:sz w:val="28"/>
                <w:szCs w:val="28"/>
              </w:rPr>
            </w:pPr>
            <w:r w:rsidRPr="00C706DD">
              <w:rPr>
                <w:color w:val="1E04BC"/>
                <w:sz w:val="28"/>
                <w:szCs w:val="28"/>
              </w:rPr>
              <w:t>2021</w:t>
            </w:r>
            <w:r w:rsidR="00131F39" w:rsidRPr="00C706DD">
              <w:rPr>
                <w:color w:val="1E04BC"/>
                <w:sz w:val="28"/>
                <w:szCs w:val="28"/>
              </w:rPr>
              <w:t xml:space="preserve"> </w:t>
            </w:r>
            <w:r w:rsidR="00E40DA7" w:rsidRPr="00C706DD">
              <w:rPr>
                <w:color w:val="1E04BC"/>
                <w:sz w:val="28"/>
                <w:szCs w:val="28"/>
              </w:rPr>
              <w:t>год</w:t>
            </w:r>
          </w:p>
        </w:tc>
      </w:tr>
      <w:tr w:rsidR="002F3985" w:rsidRPr="00641EE9" w:rsidTr="00641EE9">
        <w:trPr>
          <w:trHeight w:val="393"/>
        </w:trPr>
        <w:tc>
          <w:tcPr>
            <w:tcW w:w="10456" w:type="dxa"/>
            <w:shd w:val="clear" w:color="auto" w:fill="FDE9D9" w:themeFill="accent6" w:themeFillTint="33"/>
          </w:tcPr>
          <w:p w:rsidR="002F3985" w:rsidRPr="00C706DD" w:rsidRDefault="002F3985" w:rsidP="00F20E4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Расходы в области культуры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172445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64,9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C706DD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58,1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C706DD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57,4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C706DD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57,5</w:t>
            </w:r>
          </w:p>
        </w:tc>
      </w:tr>
      <w:tr w:rsidR="002F3985" w:rsidRPr="00641EE9" w:rsidTr="00641EE9">
        <w:tc>
          <w:tcPr>
            <w:tcW w:w="10456" w:type="dxa"/>
            <w:shd w:val="clear" w:color="auto" w:fill="FDE9D9" w:themeFill="accent6" w:themeFillTint="33"/>
          </w:tcPr>
          <w:p w:rsidR="002F3985" w:rsidRPr="00C706DD" w:rsidRDefault="002F3985" w:rsidP="00F20E4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Расходы по организации исполнительно-распорядительных функций в области архитектуры и градостроительства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172445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30,0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C706DD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31,6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C706DD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31,6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C706DD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31,6</w:t>
            </w:r>
          </w:p>
        </w:tc>
      </w:tr>
      <w:tr w:rsidR="00BD3C1A" w:rsidRPr="00641EE9" w:rsidTr="00641EE9">
        <w:trPr>
          <w:trHeight w:val="1651"/>
        </w:trPr>
        <w:tc>
          <w:tcPr>
            <w:tcW w:w="10456" w:type="dxa"/>
            <w:shd w:val="clear" w:color="auto" w:fill="FDE9D9" w:themeFill="accent6" w:themeFillTint="33"/>
          </w:tcPr>
          <w:p w:rsidR="00BD3C1A" w:rsidRPr="00C706DD" w:rsidRDefault="00BD3C1A" w:rsidP="00F20E4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Расходы по организации исполнительно-распорядительных функций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BD3C1A" w:rsidRPr="00C706DD" w:rsidRDefault="00172445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122,3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BD3C1A" w:rsidRPr="00C706DD" w:rsidRDefault="00C706DD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129,0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BD3C1A" w:rsidRPr="00C706DD" w:rsidRDefault="00C706DD">
            <w:pPr>
              <w:rPr>
                <w:sz w:val="28"/>
                <w:szCs w:val="28"/>
              </w:rPr>
            </w:pPr>
            <w:r w:rsidRPr="00C706DD">
              <w:rPr>
                <w:sz w:val="28"/>
                <w:szCs w:val="28"/>
              </w:rPr>
              <w:t>129,0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BD3C1A" w:rsidRPr="00C706DD" w:rsidRDefault="00C706DD">
            <w:pPr>
              <w:rPr>
                <w:sz w:val="28"/>
                <w:szCs w:val="28"/>
              </w:rPr>
            </w:pPr>
            <w:r w:rsidRPr="00C706DD">
              <w:rPr>
                <w:sz w:val="28"/>
                <w:szCs w:val="28"/>
              </w:rPr>
              <w:t>129,0</w:t>
            </w:r>
          </w:p>
        </w:tc>
      </w:tr>
      <w:tr w:rsidR="00CA5C20" w:rsidRPr="00641EE9" w:rsidTr="00641EE9">
        <w:tc>
          <w:tcPr>
            <w:tcW w:w="10456" w:type="dxa"/>
            <w:shd w:val="clear" w:color="auto" w:fill="FDE9D9" w:themeFill="accent6" w:themeFillTint="33"/>
          </w:tcPr>
          <w:p w:rsidR="00CA5C20" w:rsidRPr="00C706DD" w:rsidRDefault="00CA5C20" w:rsidP="00F20E4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sz w:val="28"/>
                <w:szCs w:val="28"/>
              </w:rPr>
              <w:t xml:space="preserve">Расходов, связанных с передачей переданных полномочий органов местного самоуправления Горняцкого сельского поселения органам местного самоуправления Белокалитвинского </w:t>
            </w:r>
            <w:bookmarkStart w:id="0" w:name="_GoBack"/>
            <w:bookmarkEnd w:id="0"/>
            <w:r w:rsidRPr="00C706DD">
              <w:rPr>
                <w:sz w:val="28"/>
                <w:szCs w:val="28"/>
              </w:rPr>
              <w:t>района по осуществлению внешнего муниципального финансового контроля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Pr="00C706DD" w:rsidRDefault="00172445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45,7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Pr="00C706DD" w:rsidRDefault="00C706DD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44,1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Pr="00C706DD" w:rsidRDefault="00C706DD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44,1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Pr="00C706DD" w:rsidRDefault="00C706DD" w:rsidP="00BD3C1A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44,1</w:t>
            </w:r>
          </w:p>
        </w:tc>
      </w:tr>
      <w:tr w:rsidR="00C706DD" w:rsidRPr="00641EE9" w:rsidTr="00641EE9">
        <w:tc>
          <w:tcPr>
            <w:tcW w:w="10456" w:type="dxa"/>
            <w:shd w:val="clear" w:color="auto" w:fill="FDE9D9" w:themeFill="accent6" w:themeFillTint="33"/>
          </w:tcPr>
          <w:p w:rsidR="00C706DD" w:rsidRPr="00C706DD" w:rsidRDefault="00C706DD" w:rsidP="004824EB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sz w:val="28"/>
                <w:szCs w:val="28"/>
              </w:rPr>
              <w:t xml:space="preserve">Расходов, связанных с передачей переданных полномочий органов местного самоуправления Горняцкого сельского поселения органам местного самоуправления </w:t>
            </w:r>
            <w:proofErr w:type="spellStart"/>
            <w:r w:rsidRPr="00C706DD">
              <w:rPr>
                <w:sz w:val="28"/>
                <w:szCs w:val="28"/>
              </w:rPr>
              <w:t>Белокалитвинского</w:t>
            </w:r>
            <w:proofErr w:type="spellEnd"/>
            <w:r w:rsidRPr="00C706DD">
              <w:rPr>
                <w:sz w:val="28"/>
                <w:szCs w:val="28"/>
              </w:rPr>
              <w:t xml:space="preserve"> </w:t>
            </w:r>
            <w:r w:rsidRPr="00C706DD">
              <w:rPr>
                <w:sz w:val="28"/>
                <w:szCs w:val="28"/>
              </w:rPr>
              <w:t>района по осуществлению внутреннего</w:t>
            </w:r>
            <w:r w:rsidRPr="00C706DD">
              <w:rPr>
                <w:sz w:val="28"/>
                <w:szCs w:val="28"/>
              </w:rPr>
              <w:t xml:space="preserve"> муниципального финансового контроля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C706DD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C706DD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41,3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C706DD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41,3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C706DD" w:rsidP="00BD3C1A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41,3</w:t>
            </w:r>
          </w:p>
        </w:tc>
      </w:tr>
      <w:tr w:rsidR="00C706DD" w:rsidRPr="00641EE9" w:rsidTr="00641EE9">
        <w:trPr>
          <w:trHeight w:val="703"/>
        </w:trPr>
        <w:tc>
          <w:tcPr>
            <w:tcW w:w="10456" w:type="dxa"/>
            <w:shd w:val="clear" w:color="auto" w:fill="FDE9D9" w:themeFill="accent6" w:themeFillTint="33"/>
          </w:tcPr>
          <w:p w:rsidR="00C706DD" w:rsidRPr="00C706DD" w:rsidRDefault="00C706DD" w:rsidP="00F20E4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C706DD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262,9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C706DD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304,1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C706DD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303,4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C706DD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303,5</w:t>
            </w:r>
          </w:p>
        </w:tc>
      </w:tr>
    </w:tbl>
    <w:p w:rsidR="00945494" w:rsidRDefault="00945494" w:rsidP="008C6A0B">
      <w:pPr>
        <w:jc w:val="center"/>
      </w:pPr>
    </w:p>
    <w:sectPr w:rsidR="00945494" w:rsidSect="00746CAF">
      <w:pgSz w:w="16838" w:h="11906" w:orient="landscape"/>
      <w:pgMar w:top="993" w:right="1134" w:bottom="850" w:left="1134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EF2" w:rsidRDefault="009F4EF2" w:rsidP="001268EE">
      <w:pPr>
        <w:spacing w:after="0" w:line="240" w:lineRule="auto"/>
      </w:pPr>
      <w:r>
        <w:separator/>
      </w:r>
    </w:p>
  </w:endnote>
  <w:endnote w:type="continuationSeparator" w:id="0">
    <w:p w:rsidR="009F4EF2" w:rsidRDefault="009F4EF2" w:rsidP="00126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EF2" w:rsidRDefault="009F4EF2" w:rsidP="001268EE">
      <w:pPr>
        <w:spacing w:after="0" w:line="240" w:lineRule="auto"/>
      </w:pPr>
      <w:r>
        <w:separator/>
      </w:r>
    </w:p>
  </w:footnote>
  <w:footnote w:type="continuationSeparator" w:id="0">
    <w:p w:rsidR="009F4EF2" w:rsidRDefault="009F4EF2" w:rsidP="00126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50E9D"/>
    <w:multiLevelType w:val="hybridMultilevel"/>
    <w:tmpl w:val="3AA43070"/>
    <w:lvl w:ilvl="0" w:tplc="9C34D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 w:themeColor="accent3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904A0E"/>
    <w:multiLevelType w:val="hybridMultilevel"/>
    <w:tmpl w:val="74569280"/>
    <w:lvl w:ilvl="0" w:tplc="C4101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05ED"/>
    <w:rsid w:val="00005171"/>
    <w:rsid w:val="00011186"/>
    <w:rsid w:val="000657A3"/>
    <w:rsid w:val="000803E5"/>
    <w:rsid w:val="00087B71"/>
    <w:rsid w:val="000B0125"/>
    <w:rsid w:val="000B513B"/>
    <w:rsid w:val="000C2E5D"/>
    <w:rsid w:val="000D1700"/>
    <w:rsid w:val="000F03B5"/>
    <w:rsid w:val="000F2472"/>
    <w:rsid w:val="000F3485"/>
    <w:rsid w:val="0011595C"/>
    <w:rsid w:val="001164E9"/>
    <w:rsid w:val="00122769"/>
    <w:rsid w:val="001268EE"/>
    <w:rsid w:val="00131F39"/>
    <w:rsid w:val="0014432D"/>
    <w:rsid w:val="00170DC4"/>
    <w:rsid w:val="00172445"/>
    <w:rsid w:val="00173E43"/>
    <w:rsid w:val="001903F8"/>
    <w:rsid w:val="00192A27"/>
    <w:rsid w:val="0019509C"/>
    <w:rsid w:val="001956E1"/>
    <w:rsid w:val="001A2237"/>
    <w:rsid w:val="001A3695"/>
    <w:rsid w:val="001A5C07"/>
    <w:rsid w:val="001A7E0E"/>
    <w:rsid w:val="001B24E7"/>
    <w:rsid w:val="001D2002"/>
    <w:rsid w:val="001D3720"/>
    <w:rsid w:val="001E3645"/>
    <w:rsid w:val="00200ACD"/>
    <w:rsid w:val="002122A0"/>
    <w:rsid w:val="00224104"/>
    <w:rsid w:val="00237370"/>
    <w:rsid w:val="00254EDD"/>
    <w:rsid w:val="00265A03"/>
    <w:rsid w:val="002705ED"/>
    <w:rsid w:val="00276ECE"/>
    <w:rsid w:val="002800E8"/>
    <w:rsid w:val="002926F7"/>
    <w:rsid w:val="00294258"/>
    <w:rsid w:val="002A78CD"/>
    <w:rsid w:val="002B5571"/>
    <w:rsid w:val="002C37F5"/>
    <w:rsid w:val="002C4B50"/>
    <w:rsid w:val="002D4C13"/>
    <w:rsid w:val="002E32CE"/>
    <w:rsid w:val="002E3448"/>
    <w:rsid w:val="002E489B"/>
    <w:rsid w:val="002F3985"/>
    <w:rsid w:val="00310830"/>
    <w:rsid w:val="00335AC9"/>
    <w:rsid w:val="00342828"/>
    <w:rsid w:val="00355C86"/>
    <w:rsid w:val="00355D7D"/>
    <w:rsid w:val="00357979"/>
    <w:rsid w:val="00360284"/>
    <w:rsid w:val="003652E6"/>
    <w:rsid w:val="00365EF5"/>
    <w:rsid w:val="0037184D"/>
    <w:rsid w:val="00375ADA"/>
    <w:rsid w:val="003C127B"/>
    <w:rsid w:val="003D339B"/>
    <w:rsid w:val="003E08E3"/>
    <w:rsid w:val="003E6725"/>
    <w:rsid w:val="004015EB"/>
    <w:rsid w:val="00406D7E"/>
    <w:rsid w:val="00416E2C"/>
    <w:rsid w:val="004557D7"/>
    <w:rsid w:val="00472F86"/>
    <w:rsid w:val="00481EB7"/>
    <w:rsid w:val="00482E8C"/>
    <w:rsid w:val="00484381"/>
    <w:rsid w:val="004A0FB0"/>
    <w:rsid w:val="004A7D49"/>
    <w:rsid w:val="004C7372"/>
    <w:rsid w:val="004C79EB"/>
    <w:rsid w:val="004D2943"/>
    <w:rsid w:val="004D4751"/>
    <w:rsid w:val="004F735A"/>
    <w:rsid w:val="005540B6"/>
    <w:rsid w:val="005665A0"/>
    <w:rsid w:val="0058635E"/>
    <w:rsid w:val="0059468E"/>
    <w:rsid w:val="00596FDA"/>
    <w:rsid w:val="005A5B16"/>
    <w:rsid w:val="005A5B9C"/>
    <w:rsid w:val="005B5F18"/>
    <w:rsid w:val="005C05C3"/>
    <w:rsid w:val="005D1ACD"/>
    <w:rsid w:val="005D263E"/>
    <w:rsid w:val="005F1169"/>
    <w:rsid w:val="005F26F7"/>
    <w:rsid w:val="005F7D75"/>
    <w:rsid w:val="00605624"/>
    <w:rsid w:val="00610EC6"/>
    <w:rsid w:val="0061394E"/>
    <w:rsid w:val="006145AD"/>
    <w:rsid w:val="0061527F"/>
    <w:rsid w:val="00615F96"/>
    <w:rsid w:val="00623AF7"/>
    <w:rsid w:val="00641063"/>
    <w:rsid w:val="00641EE9"/>
    <w:rsid w:val="00645902"/>
    <w:rsid w:val="006734CE"/>
    <w:rsid w:val="00674664"/>
    <w:rsid w:val="006771B0"/>
    <w:rsid w:val="00693B4F"/>
    <w:rsid w:val="006A082E"/>
    <w:rsid w:val="006C1CB4"/>
    <w:rsid w:val="006F0BF0"/>
    <w:rsid w:val="006F5882"/>
    <w:rsid w:val="006F7322"/>
    <w:rsid w:val="00701AC8"/>
    <w:rsid w:val="00703A7C"/>
    <w:rsid w:val="00706178"/>
    <w:rsid w:val="00706C8F"/>
    <w:rsid w:val="00715E0F"/>
    <w:rsid w:val="00730478"/>
    <w:rsid w:val="0073533F"/>
    <w:rsid w:val="007422C1"/>
    <w:rsid w:val="00746CAF"/>
    <w:rsid w:val="007532C4"/>
    <w:rsid w:val="00757D79"/>
    <w:rsid w:val="00793156"/>
    <w:rsid w:val="007B5392"/>
    <w:rsid w:val="007C51FD"/>
    <w:rsid w:val="007D13B6"/>
    <w:rsid w:val="007E1040"/>
    <w:rsid w:val="007E3850"/>
    <w:rsid w:val="007E6EA2"/>
    <w:rsid w:val="007F1CB5"/>
    <w:rsid w:val="007F3E82"/>
    <w:rsid w:val="007F7222"/>
    <w:rsid w:val="00800740"/>
    <w:rsid w:val="00811E9B"/>
    <w:rsid w:val="0082291F"/>
    <w:rsid w:val="008423D1"/>
    <w:rsid w:val="00847E1A"/>
    <w:rsid w:val="008842C3"/>
    <w:rsid w:val="008A7CF6"/>
    <w:rsid w:val="008C002D"/>
    <w:rsid w:val="008C6A0B"/>
    <w:rsid w:val="008F7A89"/>
    <w:rsid w:val="009134AD"/>
    <w:rsid w:val="00937267"/>
    <w:rsid w:val="00942888"/>
    <w:rsid w:val="00945494"/>
    <w:rsid w:val="009503FD"/>
    <w:rsid w:val="00962CF3"/>
    <w:rsid w:val="009645B8"/>
    <w:rsid w:val="00967B9C"/>
    <w:rsid w:val="00982FC1"/>
    <w:rsid w:val="009A05B6"/>
    <w:rsid w:val="009B6D8C"/>
    <w:rsid w:val="009C0E8D"/>
    <w:rsid w:val="009D1066"/>
    <w:rsid w:val="009D4561"/>
    <w:rsid w:val="009E6C3F"/>
    <w:rsid w:val="009E6E09"/>
    <w:rsid w:val="009F4EF2"/>
    <w:rsid w:val="009F62E3"/>
    <w:rsid w:val="00A00A0E"/>
    <w:rsid w:val="00A06194"/>
    <w:rsid w:val="00A073F3"/>
    <w:rsid w:val="00A17C3C"/>
    <w:rsid w:val="00A22E36"/>
    <w:rsid w:val="00A4627F"/>
    <w:rsid w:val="00A469F1"/>
    <w:rsid w:val="00A72F9B"/>
    <w:rsid w:val="00A85829"/>
    <w:rsid w:val="00AC5963"/>
    <w:rsid w:val="00AD0048"/>
    <w:rsid w:val="00AE01ED"/>
    <w:rsid w:val="00AE39A6"/>
    <w:rsid w:val="00AE3EA5"/>
    <w:rsid w:val="00AF28FC"/>
    <w:rsid w:val="00B03DBE"/>
    <w:rsid w:val="00B06962"/>
    <w:rsid w:val="00B13CA2"/>
    <w:rsid w:val="00B15A37"/>
    <w:rsid w:val="00B2227A"/>
    <w:rsid w:val="00B30781"/>
    <w:rsid w:val="00B40024"/>
    <w:rsid w:val="00B436E9"/>
    <w:rsid w:val="00B61E1D"/>
    <w:rsid w:val="00B66E2C"/>
    <w:rsid w:val="00B7420C"/>
    <w:rsid w:val="00B904CF"/>
    <w:rsid w:val="00B90BBC"/>
    <w:rsid w:val="00B94C55"/>
    <w:rsid w:val="00BA2F96"/>
    <w:rsid w:val="00BA45A7"/>
    <w:rsid w:val="00BB3E50"/>
    <w:rsid w:val="00BC746F"/>
    <w:rsid w:val="00BD253C"/>
    <w:rsid w:val="00BD2BCC"/>
    <w:rsid w:val="00BD3C1A"/>
    <w:rsid w:val="00BD7B4F"/>
    <w:rsid w:val="00BF5BF4"/>
    <w:rsid w:val="00BF7BF1"/>
    <w:rsid w:val="00C056F0"/>
    <w:rsid w:val="00C20F36"/>
    <w:rsid w:val="00C313E8"/>
    <w:rsid w:val="00C33A69"/>
    <w:rsid w:val="00C706DD"/>
    <w:rsid w:val="00C72043"/>
    <w:rsid w:val="00C72281"/>
    <w:rsid w:val="00C85E80"/>
    <w:rsid w:val="00C86E32"/>
    <w:rsid w:val="00C97F96"/>
    <w:rsid w:val="00CA5525"/>
    <w:rsid w:val="00CA5C20"/>
    <w:rsid w:val="00CA6198"/>
    <w:rsid w:val="00CA7913"/>
    <w:rsid w:val="00CA7D89"/>
    <w:rsid w:val="00CB393F"/>
    <w:rsid w:val="00CC537A"/>
    <w:rsid w:val="00CD535C"/>
    <w:rsid w:val="00CF5CF7"/>
    <w:rsid w:val="00D168ED"/>
    <w:rsid w:val="00D55499"/>
    <w:rsid w:val="00D633EA"/>
    <w:rsid w:val="00D71CA4"/>
    <w:rsid w:val="00D71E43"/>
    <w:rsid w:val="00D82748"/>
    <w:rsid w:val="00D835D2"/>
    <w:rsid w:val="00D9007A"/>
    <w:rsid w:val="00D945A8"/>
    <w:rsid w:val="00D94CDE"/>
    <w:rsid w:val="00DA28C3"/>
    <w:rsid w:val="00DB3E91"/>
    <w:rsid w:val="00DC52B1"/>
    <w:rsid w:val="00DD4280"/>
    <w:rsid w:val="00DD5F2B"/>
    <w:rsid w:val="00DE0CDA"/>
    <w:rsid w:val="00DE748C"/>
    <w:rsid w:val="00DF0730"/>
    <w:rsid w:val="00DF2DD1"/>
    <w:rsid w:val="00DF66B3"/>
    <w:rsid w:val="00DF6F48"/>
    <w:rsid w:val="00E13674"/>
    <w:rsid w:val="00E15AAE"/>
    <w:rsid w:val="00E40DA7"/>
    <w:rsid w:val="00E87FF9"/>
    <w:rsid w:val="00E94049"/>
    <w:rsid w:val="00E95636"/>
    <w:rsid w:val="00EA2789"/>
    <w:rsid w:val="00EB30A4"/>
    <w:rsid w:val="00EB42F2"/>
    <w:rsid w:val="00EC6A97"/>
    <w:rsid w:val="00ED24AA"/>
    <w:rsid w:val="00ED51BA"/>
    <w:rsid w:val="00EE172F"/>
    <w:rsid w:val="00EF122C"/>
    <w:rsid w:val="00EF17E5"/>
    <w:rsid w:val="00EF2274"/>
    <w:rsid w:val="00F108BF"/>
    <w:rsid w:val="00F20E47"/>
    <w:rsid w:val="00F25A13"/>
    <w:rsid w:val="00F32E78"/>
    <w:rsid w:val="00F33D9A"/>
    <w:rsid w:val="00F35A13"/>
    <w:rsid w:val="00F44AD5"/>
    <w:rsid w:val="00F54888"/>
    <w:rsid w:val="00F56EEE"/>
    <w:rsid w:val="00F56F18"/>
    <w:rsid w:val="00F577EF"/>
    <w:rsid w:val="00F65168"/>
    <w:rsid w:val="00F70257"/>
    <w:rsid w:val="00F76AC8"/>
    <w:rsid w:val="00F775A7"/>
    <w:rsid w:val="00F867EC"/>
    <w:rsid w:val="00F87631"/>
    <w:rsid w:val="00F90EBF"/>
    <w:rsid w:val="00F95781"/>
    <w:rsid w:val="00FA43EA"/>
    <w:rsid w:val="00FD7B8E"/>
    <w:rsid w:val="00FE50BB"/>
    <w:rsid w:val="00FF451B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5E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5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34C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26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68EE"/>
  </w:style>
  <w:style w:type="paragraph" w:styleId="a9">
    <w:name w:val="footer"/>
    <w:basedOn w:val="a"/>
    <w:link w:val="aa"/>
    <w:uiPriority w:val="99"/>
    <w:unhideWhenUsed/>
    <w:rsid w:val="00126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68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chart" Target="charts/chart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Layout" Target="diagrams/layout1.xml"/><Relationship Id="rId7" Type="http://schemas.openxmlformats.org/officeDocument/2006/relationships/webSettings" Target="webSettings.xml"/><Relationship Id="rId12" Type="http://schemas.openxmlformats.org/officeDocument/2006/relationships/chart" Target="charts/chart2.xml"/><Relationship Id="rId17" Type="http://schemas.openxmlformats.org/officeDocument/2006/relationships/chart" Target="charts/chart5.xml"/><Relationship Id="rId25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diagramData" Target="diagrams/data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24" Type="http://schemas.microsoft.com/office/2007/relationships/diagramDrawing" Target="diagrams/drawing1.xml"/><Relationship Id="rId5" Type="http://schemas.openxmlformats.org/officeDocument/2006/relationships/image" Target="media/image1.gif"/><Relationship Id="rId15" Type="http://schemas.openxmlformats.org/officeDocument/2006/relationships/chart" Target="charts/chart4.xml"/><Relationship Id="rId23" Type="http://schemas.openxmlformats.org/officeDocument/2006/relationships/diagramColors" Target="diagrams/colors1.xml"/><Relationship Id="rId10" Type="http://schemas.openxmlformats.org/officeDocument/2006/relationships/image" Target="media/image2.jpeg"/><Relationship Id="rId19" Type="http://schemas.openxmlformats.org/officeDocument/2006/relationships/chart" Target="charts/chart7.xm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chart" Target="charts/chart3.xml"/><Relationship Id="rId22" Type="http://schemas.openxmlformats.org/officeDocument/2006/relationships/diagramQuickStyle" Target="diagrams/quickStyle1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65075661838565E-2"/>
          <c:y val="1.8878637850083126E-2"/>
          <c:w val="0.91523492433816145"/>
          <c:h val="0.9340833439903537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Лист1!$A$1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val>
            <c:numRef>
              <c:f>Лист1!$A$2:$A$5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19904,2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23806,7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83511,8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10804,5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Лист1!$B$2:$B$5</c:f>
              <c:numCache>
                <c:formatCode>General</c:formatCode>
                <c:ptCount val="4"/>
                <c:pt idx="0">
                  <c:v>19904.2</c:v>
                </c:pt>
                <c:pt idx="1">
                  <c:v>23806.7</c:v>
                </c:pt>
                <c:pt idx="2">
                  <c:v>83511.8</c:v>
                </c:pt>
                <c:pt idx="3">
                  <c:v>10804.5</c:v>
                </c:pt>
              </c:numCache>
            </c:numRef>
          </c:val>
        </c:ser>
        <c:ser>
          <c:idx val="2"/>
          <c:order val="2"/>
          <c:tx>
            <c:strRef>
              <c:f>Лист1!$C$1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3972,7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4138,5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4398,0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4673,2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val>
            <c:numRef>
              <c:f>Лист1!$C$2:$C$5</c:f>
              <c:numCache>
                <c:formatCode>General</c:formatCode>
                <c:ptCount val="4"/>
                <c:pt idx="0">
                  <c:v>3972.7</c:v>
                </c:pt>
                <c:pt idx="1">
                  <c:v>4138.5</c:v>
                </c:pt>
                <c:pt idx="2">
                  <c:v>4398</c:v>
                </c:pt>
                <c:pt idx="3">
                  <c:v>4673.2</c:v>
                </c:pt>
              </c:numCache>
            </c:numRef>
          </c:val>
        </c:ser>
        <c:ser>
          <c:idx val="3"/>
          <c:order val="3"/>
          <c:tx>
            <c:strRef>
              <c:f>Лист1!$D$1</c:f>
              <c:strCache>
                <c:ptCount val="1"/>
              </c:strCache>
            </c:strRef>
          </c:tx>
          <c:invertIfNegative val="0"/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er>
          <c:idx val="4"/>
          <c:order val="4"/>
          <c:tx>
            <c:strRef>
              <c:f>Лист1!$E$1</c:f>
              <c:strCache>
                <c:ptCount val="1"/>
              </c:strCache>
            </c:strRef>
          </c:tx>
          <c:invertIfNegative val="0"/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09266176"/>
        <c:axId val="209282176"/>
      </c:barChart>
      <c:catAx>
        <c:axId val="209266176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           2018(первонач.)                               2019                                 2020                             2021 </a:t>
                </a:r>
              </a:p>
            </c:rich>
          </c:tx>
          <c:layout>
            <c:manualLayout>
              <c:xMode val="edge"/>
              <c:yMode val="edge"/>
              <c:x val="0.16333325725588649"/>
              <c:y val="0.82063288364349485"/>
            </c:manualLayout>
          </c:layout>
          <c:overlay val="0"/>
        </c:title>
        <c:numFmt formatCode="General" sourceLinked="1"/>
        <c:majorTickMark val="out"/>
        <c:minorTickMark val="none"/>
        <c:tickLblPos val="none"/>
        <c:crossAx val="209282176"/>
        <c:crosses val="autoZero"/>
        <c:auto val="1"/>
        <c:lblAlgn val="ctr"/>
        <c:lblOffset val="100"/>
        <c:noMultiLvlLbl val="0"/>
      </c:catAx>
      <c:valAx>
        <c:axId val="209282176"/>
        <c:scaling>
          <c:orientation val="minMax"/>
          <c:max val="300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9266176"/>
        <c:crosses val="autoZero"/>
        <c:crossBetween val="between"/>
      </c:valAx>
      <c:spPr>
        <a:gradFill>
          <a:gsLst>
            <a:gs pos="0">
              <a:srgbClr val="8488C4"/>
            </a:gs>
            <a:gs pos="53000">
              <a:srgbClr val="D4DEFF"/>
            </a:gs>
            <a:gs pos="83000">
              <a:srgbClr val="D4DEFF"/>
            </a:gs>
            <a:gs pos="100000">
              <a:srgbClr val="96AB94"/>
            </a:gs>
          </a:gsLst>
          <a:lin ang="2700000" scaled="1"/>
        </a:gradFill>
        <a:ln>
          <a:solidFill>
            <a:schemeClr val="accent5">
              <a:lumMod val="50000"/>
            </a:schemeClr>
          </a:solidFill>
        </a:ln>
        <a:effectLst/>
        <a:scene3d>
          <a:camera prst="orthographicFront"/>
          <a:lightRig rig="threePt" dir="t"/>
        </a:scene3d>
        <a:sp3d prstMaterial="matte"/>
      </c:spPr>
    </c:plotArea>
    <c:plotVisOnly val="1"/>
    <c:dispBlanksAs val="gap"/>
    <c:showDLblsOverMax val="0"/>
  </c:chart>
  <c:spPr>
    <a:gradFill rotWithShape="1">
      <a:gsLst>
        <a:gs pos="0">
          <a:schemeClr val="accent5">
            <a:tint val="50000"/>
            <a:satMod val="300000"/>
          </a:schemeClr>
        </a:gs>
        <a:gs pos="35000">
          <a:schemeClr val="accent5">
            <a:tint val="37000"/>
            <a:satMod val="300000"/>
          </a:schemeClr>
        </a:gs>
        <a:gs pos="100000">
          <a:schemeClr val="accent5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5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ofPieChart>
        <c:ofPieType val="pie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НДФЛ- 1622,8</c:v>
                </c:pt>
                <c:pt idx="1">
                  <c:v>Налоги на имущество- 2062,8</c:v>
                </c:pt>
                <c:pt idx="2">
                  <c:v>Налоги на совокупный налог- 4.5</c:v>
                </c:pt>
                <c:pt idx="3">
                  <c:v>Госпошлина- 73.7</c:v>
                </c:pt>
                <c:pt idx="4">
                  <c:v>Неналоговые доходы- 315.0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1622.8</c:v>
                </c:pt>
                <c:pt idx="1">
                  <c:v>2062.8000000000002</c:v>
                </c:pt>
                <c:pt idx="2">
                  <c:v>4.5</c:v>
                </c:pt>
                <c:pt idx="3">
                  <c:v>73.7</c:v>
                </c:pt>
                <c:pt idx="4">
                  <c:v>315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gapWidth val="150"/>
        <c:secondPieSize val="75"/>
        <c:serLines/>
      </c:ofPieChart>
    </c:plotArea>
    <c:legend>
      <c:legendPos val="r"/>
      <c:layout>
        <c:manualLayout>
          <c:xMode val="edge"/>
          <c:yMode val="edge"/>
          <c:x val="0.64939388119722286"/>
          <c:y val="0.13959386655615424"/>
          <c:w val="0.24775238461046029"/>
          <c:h val="0.264370078740157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cat>
            <c:strRef>
              <c:f>Лист1!$A$2:$A$7</c:f>
              <c:strCache>
                <c:ptCount val="6"/>
                <c:pt idx="0">
                  <c:v>Факт 2016</c:v>
                </c:pt>
                <c:pt idx="1">
                  <c:v>Факт 2017</c:v>
                </c:pt>
                <c:pt idx="2">
                  <c:v>Факт 2018</c:v>
                </c:pt>
                <c:pt idx="3">
                  <c:v>Проект2019</c:v>
                </c:pt>
                <c:pt idx="4">
                  <c:v>Проект2020</c:v>
                </c:pt>
                <c:pt idx="5">
                  <c:v>Проект2021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1886.3</c:v>
                </c:pt>
                <c:pt idx="1">
                  <c:v>1447.5</c:v>
                </c:pt>
                <c:pt idx="2">
                  <c:v>1679.3</c:v>
                </c:pt>
                <c:pt idx="3">
                  <c:v>1622.8</c:v>
                </c:pt>
                <c:pt idx="4">
                  <c:v>1756.6</c:v>
                </c:pt>
                <c:pt idx="5">
                  <c:v>1902.4</c:v>
                </c:pt>
              </c:numCache>
            </c:numRef>
          </c:val>
        </c:ser>
        <c:ser>
          <c:idx val="1"/>
          <c:order val="1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Лист1!$A$2:$A$7</c:f>
              <c:strCache>
                <c:ptCount val="6"/>
                <c:pt idx="0">
                  <c:v>Факт 2016</c:v>
                </c:pt>
                <c:pt idx="1">
                  <c:v>Факт 2017</c:v>
                </c:pt>
                <c:pt idx="2">
                  <c:v>Факт 2018</c:v>
                </c:pt>
                <c:pt idx="3">
                  <c:v>Проект2019</c:v>
                </c:pt>
                <c:pt idx="4">
                  <c:v>Проект2020</c:v>
                </c:pt>
                <c:pt idx="5">
                  <c:v>Проект2021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Лист1!$A$2:$A$7</c:f>
              <c:strCache>
                <c:ptCount val="6"/>
                <c:pt idx="0">
                  <c:v>Факт 2016</c:v>
                </c:pt>
                <c:pt idx="1">
                  <c:v>Факт 2017</c:v>
                </c:pt>
                <c:pt idx="2">
                  <c:v>Факт 2018</c:v>
                </c:pt>
                <c:pt idx="3">
                  <c:v>Проект2019</c:v>
                </c:pt>
                <c:pt idx="4">
                  <c:v>Проект2020</c:v>
                </c:pt>
                <c:pt idx="5">
                  <c:v>Проект2021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77846912"/>
        <c:axId val="178549120"/>
      </c:barChart>
      <c:catAx>
        <c:axId val="177846912"/>
        <c:scaling>
          <c:orientation val="minMax"/>
        </c:scaling>
        <c:delete val="0"/>
        <c:axPos val="b"/>
        <c:majorTickMark val="none"/>
        <c:minorTickMark val="none"/>
        <c:tickLblPos val="nextTo"/>
        <c:crossAx val="178549120"/>
        <c:crosses val="autoZero"/>
        <c:auto val="1"/>
        <c:lblAlgn val="ctr"/>
        <c:lblOffset val="100"/>
        <c:noMultiLvlLbl val="0"/>
      </c:catAx>
      <c:valAx>
        <c:axId val="1785491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778469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639887525945146E-2"/>
          <c:y val="2.2195530643415408E-3"/>
          <c:w val="0.87590950497273423"/>
          <c:h val="0.9312740758151499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поступления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10804,5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2018 год</c:v>
                </c:pt>
                <c:pt idx="1">
                  <c:v>2019год</c:v>
                </c:pt>
                <c:pt idx="2">
                  <c:v>2020 год</c:v>
                </c:pt>
                <c:pt idx="3">
                  <c:v>2021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24845.200000000001</c:v>
                </c:pt>
                <c:pt idx="1">
                  <c:v>23806.7</c:v>
                </c:pt>
                <c:pt idx="2">
                  <c:v>83511.8</c:v>
                </c:pt>
                <c:pt idx="3">
                  <c:v>10804.5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85203328"/>
        <c:axId val="201377280"/>
      </c:barChart>
      <c:catAx>
        <c:axId val="1852033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01377280"/>
        <c:crosses val="autoZero"/>
        <c:auto val="1"/>
        <c:lblAlgn val="ctr"/>
        <c:lblOffset val="100"/>
        <c:noMultiLvlLbl val="0"/>
      </c:catAx>
      <c:valAx>
        <c:axId val="201377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852033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689950046566814E-2"/>
          <c:y val="2.0863315162527839E-2"/>
          <c:w val="0.84468450005393159"/>
          <c:h val="0.877333699871057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35501,7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29500,2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87909,8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15477,7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 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35501.699999999997</c:v>
                </c:pt>
                <c:pt idx="1">
                  <c:v>29500.2</c:v>
                </c:pt>
                <c:pt idx="2">
                  <c:v>87909.8</c:v>
                </c:pt>
                <c:pt idx="3">
                  <c:v>15477.7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40"/>
        <c:axId val="201539584"/>
        <c:axId val="201551872"/>
      </c:barChart>
      <c:catAx>
        <c:axId val="20153958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ln>
            <a:solidFill>
              <a:schemeClr val="accent5">
                <a:lumMod val="60000"/>
                <a:lumOff val="40000"/>
              </a:schemeClr>
            </a:solidFill>
          </a:ln>
        </c:spPr>
        <c:crossAx val="201551872"/>
        <c:crosses val="autoZero"/>
        <c:auto val="1"/>
        <c:lblAlgn val="ctr"/>
        <c:lblOffset val="100"/>
        <c:noMultiLvlLbl val="0"/>
      </c:catAx>
      <c:valAx>
        <c:axId val="20155187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5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crossAx val="201539584"/>
        <c:crosses val="autoZero"/>
        <c:crossBetween val="between"/>
      </c:valAx>
      <c:spPr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plotVisOnly val="1"/>
    <c:dispBlanksAs val="gap"/>
    <c:showDLblsOverMax val="0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3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autoTitleDeleted val="1"/>
    <c:view3D>
      <c:rotX val="90"/>
      <c:rotY val="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соцполитика-194,1</c:v>
                </c:pt>
                <c:pt idx="1">
                  <c:v>культура-13889,3</c:v>
                </c:pt>
                <c:pt idx="2">
                  <c:v>физкультура и спорт-20</c:v>
                </c:pt>
                <c:pt idx="3">
                  <c:v>нацэкономика-1985,8</c:v>
                </c:pt>
                <c:pt idx="4">
                  <c:v>ЖКХ-3479,2</c:v>
                </c:pt>
                <c:pt idx="5">
                  <c:v>образование 15,0</c:v>
                </c:pt>
                <c:pt idx="6">
                  <c:v>общегос-ые вопросы-9318,5</c:v>
                </c:pt>
                <c:pt idx="7">
                  <c:v>нацбезопастность и правоохранит. Деятельность,нацоборона-598,3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194.1</c:v>
                </c:pt>
                <c:pt idx="1">
                  <c:v>13889.3</c:v>
                </c:pt>
                <c:pt idx="2">
                  <c:v>20</c:v>
                </c:pt>
                <c:pt idx="3">
                  <c:v>1985.8</c:v>
                </c:pt>
                <c:pt idx="4">
                  <c:v>3479.2</c:v>
                </c:pt>
                <c:pt idx="5">
                  <c:v>15</c:v>
                </c:pt>
                <c:pt idx="6">
                  <c:v>9318.5</c:v>
                </c:pt>
                <c:pt idx="7">
                  <c:v>598.29999999999995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solidFill>
      <a:schemeClr val="dk1"/>
    </a:solidFill>
    <a:ln w="38100" cap="flat" cmpd="sng" algn="ctr">
      <a:solidFill>
        <a:schemeClr val="lt1"/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lt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6"/>
    </mc:Choice>
    <mc:Fallback>
      <c:style val="46"/>
    </mc:Fallback>
  </mc:AlternateContent>
  <c:chart>
    <c:autoTitleDeleted val="1"/>
    <c:plotArea>
      <c:layout/>
      <c:area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тыс.рублей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2018год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14784.8</c:v>
                </c:pt>
                <c:pt idx="1">
                  <c:v>13899.3</c:v>
                </c:pt>
                <c:pt idx="2">
                  <c:v>5365.6</c:v>
                </c:pt>
                <c:pt idx="3">
                  <c:v>3542.3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9233408"/>
        <c:axId val="209234944"/>
      </c:areaChart>
      <c:catAx>
        <c:axId val="209233408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1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crossAx val="209234944"/>
        <c:crosses val="autoZero"/>
        <c:auto val="1"/>
        <c:lblAlgn val="ctr"/>
        <c:lblOffset val="100"/>
        <c:noMultiLvlLbl val="0"/>
      </c:catAx>
      <c:valAx>
        <c:axId val="20923494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1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crossAx val="209233408"/>
        <c:crosses val="autoZero"/>
        <c:crossBetween val="midCat"/>
      </c:valAx>
      <c:dTable>
        <c:showHorzBorder val="1"/>
        <c:showVertBorder val="1"/>
        <c:showOutline val="1"/>
        <c:showKeys val="1"/>
      </c:dTable>
      <c:spPr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c:spPr>
    </c:plotArea>
    <c:plotVisOnly val="1"/>
    <c:dispBlanksAs val="zero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818331063623611E-2"/>
          <c:y val="1.9100218106539505E-2"/>
          <c:w val="0.93718166893637633"/>
          <c:h val="0.9178992766749237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accent1"/>
              </a:solidFill>
              <a:prstDash val="solid"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1"/>
              <c:spPr>
                <a:gradFill rotWithShape="1">
                  <a:gsLst>
                    <a:gs pos="0">
                      <a:schemeClr val="accent1">
                        <a:shade val="51000"/>
                        <a:satMod val="130000"/>
                      </a:schemeClr>
                    </a:gs>
                    <a:gs pos="80000">
                      <a:schemeClr val="accent1">
                        <a:shade val="93000"/>
                        <a:satMod val="130000"/>
                      </a:schemeClr>
                    </a:gs>
                    <a:gs pos="100000">
                      <a:schemeClr val="accent1">
                        <a:shade val="94000"/>
                        <a:satMod val="135000"/>
                      </a:schemeClr>
                    </a:gs>
                  </a:gsLst>
                  <a:lin ang="16200000" scaled="0"/>
                </a:gradFill>
                <a:ln>
                  <a:noFill/>
                </a:ln>
                <a:effectLst>
                  <a:outerShdw blurRad="40000" dist="23000" dir="5400000" rotWithShape="0">
                    <a:srgbClr val="000000">
                      <a:alpha val="35000"/>
                    </a:srgbClr>
                  </a:outerShdw>
                </a:effectLst>
                <a:scene3d>
                  <a:camera prst="orthographicFront">
                    <a:rot lat="0" lon="0" rev="0"/>
                  </a:camera>
                  <a:lightRig rig="threePt" dir="t">
                    <a:rot lat="0" lon="0" rev="1200000"/>
                  </a:lightRig>
                </a:scene3d>
                <a:sp3d>
                  <a:bevelT w="63500" h="25400"/>
                </a:sp3d>
              </c:spPr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gradFill rotWithShape="1">
                  <a:gsLst>
                    <a:gs pos="0">
                      <a:schemeClr val="accent2">
                        <a:shade val="51000"/>
                        <a:satMod val="130000"/>
                      </a:schemeClr>
                    </a:gs>
                    <a:gs pos="80000">
                      <a:schemeClr val="accent2">
                        <a:shade val="93000"/>
                        <a:satMod val="130000"/>
                      </a:schemeClr>
                    </a:gs>
                    <a:gs pos="100000">
                      <a:schemeClr val="accent2">
                        <a:shade val="94000"/>
                        <a:satMod val="135000"/>
                      </a:schemeClr>
                    </a:gs>
                  </a:gsLst>
                  <a:lin ang="16200000" scaled="0"/>
                </a:gradFill>
                <a:ln>
                  <a:noFill/>
                </a:ln>
                <a:effectLst>
                  <a:outerShdw blurRad="40000" dist="23000" dir="5400000" rotWithShape="0">
                    <a:srgbClr val="000000">
                      <a:alpha val="35000"/>
                    </a:srgbClr>
                  </a:outerShdw>
                </a:effectLst>
                <a:scene3d>
                  <a:camera prst="orthographicFront">
                    <a:rot lat="0" lon="0" rev="0"/>
                  </a:camera>
                  <a:lightRig rig="threePt" dir="t">
                    <a:rot lat="0" lon="0" rev="1200000"/>
                  </a:lightRig>
                </a:scene3d>
                <a:sp3d>
                  <a:bevelT w="63500" h="25400"/>
                </a:sp3d>
              </c:spPr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2018год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33990.5</c:v>
                </c:pt>
                <c:pt idx="1">
                  <c:v>29158.2</c:v>
                </c:pt>
                <c:pt idx="2">
                  <c:v>87218.7</c:v>
                </c:pt>
                <c:pt idx="3">
                  <c:v>13983.2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84494336"/>
        <c:axId val="184495488"/>
        <c:axId val="0"/>
      </c:bar3DChart>
      <c:catAx>
        <c:axId val="18449433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4495488"/>
        <c:crosses val="autoZero"/>
        <c:auto val="1"/>
        <c:lblAlgn val="ctr"/>
        <c:lblOffset val="100"/>
        <c:noMultiLvlLbl val="0"/>
      </c:catAx>
      <c:valAx>
        <c:axId val="1844954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4494336"/>
        <c:crosses val="autoZero"/>
        <c:crossBetween val="between"/>
      </c:valAx>
      <c:spPr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250ED5-A426-428E-8F79-A8CEAB53C461}" type="doc">
      <dgm:prSet loTypeId="urn:microsoft.com/office/officeart/2005/8/layout/default#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B27F652E-337A-43BB-B8B8-311FCA4DABFC}">
      <dgm:prSet phldrT="[Текст]" custT="1"/>
      <dgm:spPr/>
      <dgm:t>
        <a:bodyPr/>
        <a:lstStyle/>
        <a:p>
          <a:pPr algn="ctr"/>
          <a:r>
            <a:rPr lang="ru-RU" sz="1400" b="1" cap="none" spc="50">
              <a:ln w="11430"/>
              <a:effectLst/>
            </a:rPr>
            <a:t>Расходы на финансовое обеспечение выполнения муниципального задания муниципальным бюджетным учреждением культуры в</a:t>
          </a:r>
        </a:p>
        <a:p>
          <a:pPr algn="ctr"/>
          <a:r>
            <a:rPr lang="ru-RU" sz="1400" b="1" cap="none" spc="50">
              <a:ln w="11430"/>
              <a:effectLst/>
            </a:rPr>
            <a:t>2019году-13827,0  тыс.рублей</a:t>
          </a:r>
        </a:p>
        <a:p>
          <a:pPr algn="ctr"/>
          <a:r>
            <a:rPr lang="ru-RU" sz="1400" b="1" cap="none" spc="50">
              <a:ln w="11430"/>
              <a:effectLst/>
            </a:rPr>
            <a:t>2020году-5304,0 тыс.рублей</a:t>
          </a:r>
        </a:p>
        <a:p>
          <a:pPr algn="ctr"/>
          <a:r>
            <a:rPr lang="ru-RU" sz="1400" b="1" cap="none" spc="50">
              <a:ln w="11430"/>
              <a:effectLst/>
            </a:rPr>
            <a:t>2021году-3480,6 тыс.рублей</a:t>
          </a:r>
        </a:p>
        <a:p>
          <a:pPr algn="ctr"/>
          <a:endParaRPr lang="ru-RU" sz="1400"/>
        </a:p>
        <a:p>
          <a:pPr algn="ctr"/>
          <a:endParaRPr lang="ru-RU" sz="1200"/>
        </a:p>
      </dgm:t>
    </dgm:pt>
    <dgm:pt modelId="{9051FD25-CABB-485F-8C74-1A7977A854CF}" type="parTrans" cxnId="{26433D43-D07E-4778-B005-46113CE8E11F}">
      <dgm:prSet/>
      <dgm:spPr/>
      <dgm:t>
        <a:bodyPr/>
        <a:lstStyle/>
        <a:p>
          <a:endParaRPr lang="ru-RU"/>
        </a:p>
      </dgm:t>
    </dgm:pt>
    <dgm:pt modelId="{8229BA4F-7781-4EF9-BF44-C2F90D65BA54}" type="sibTrans" cxnId="{26433D43-D07E-4778-B005-46113CE8E11F}">
      <dgm:prSet/>
      <dgm:spPr/>
      <dgm:t>
        <a:bodyPr/>
        <a:lstStyle/>
        <a:p>
          <a:endParaRPr lang="ru-RU"/>
        </a:p>
      </dgm:t>
    </dgm:pt>
    <dgm:pt modelId="{EB6485E5-9102-4E7E-A1C4-328F3DE7375C}">
      <dgm:prSet phldrT="[Текст]" custT="1"/>
      <dgm:spPr/>
      <dgm:t>
        <a:bodyPr/>
        <a:lstStyle/>
        <a:p>
          <a:r>
            <a:rPr lang="ru-RU" sz="1600" b="1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Расходы на реализацию муниципальной  целевой программы</a:t>
          </a:r>
        </a:p>
        <a:p>
          <a:r>
            <a:rPr lang="ru-RU" sz="1600" b="1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2019году-13885,1тыс.рублей</a:t>
          </a:r>
        </a:p>
        <a:p>
          <a:r>
            <a:rPr lang="ru-RU" sz="1600" b="1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2020году-5361,4 тыс.рублей</a:t>
          </a:r>
        </a:p>
        <a:p>
          <a:r>
            <a:rPr lang="ru-RU" sz="1600" b="1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2021году-3538,1 тыс.рублей</a:t>
          </a:r>
        </a:p>
      </dgm:t>
    </dgm:pt>
    <dgm:pt modelId="{0268E105-3B40-4371-8575-322F4E956D2E}" type="parTrans" cxnId="{B22A8EA5-06BF-481C-A6AA-FC2703B41F67}">
      <dgm:prSet/>
      <dgm:spPr/>
      <dgm:t>
        <a:bodyPr/>
        <a:lstStyle/>
        <a:p>
          <a:endParaRPr lang="ru-RU"/>
        </a:p>
      </dgm:t>
    </dgm:pt>
    <dgm:pt modelId="{2B38678D-01F3-4D13-87E1-D3A3673EC767}" type="sibTrans" cxnId="{B22A8EA5-06BF-481C-A6AA-FC2703B41F67}">
      <dgm:prSet/>
      <dgm:spPr/>
      <dgm:t>
        <a:bodyPr/>
        <a:lstStyle/>
        <a:p>
          <a:endParaRPr lang="ru-RU"/>
        </a:p>
      </dgm:t>
    </dgm:pt>
    <dgm:pt modelId="{C63D4AF2-EFB1-4F89-BEC6-577B4C81A963}">
      <dgm:prSet phldrT="[Текст]" custT="1"/>
      <dgm:spPr/>
      <dgm:t>
        <a:bodyPr/>
        <a:lstStyle/>
        <a:p>
          <a:r>
            <a:rPr lang="ru-RU" sz="1400" b="1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Общий объем расходов по отрасли "КУЛЬТУРА"</a:t>
          </a:r>
        </a:p>
        <a:p>
          <a:r>
            <a:rPr lang="ru-RU" sz="1400" b="1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2019году-13889,3 тыс.рублей</a:t>
          </a:r>
        </a:p>
        <a:p>
          <a:r>
            <a:rPr lang="ru-RU" sz="1400" b="1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2020году- 5365,6 тыс.рублей</a:t>
          </a:r>
        </a:p>
        <a:p>
          <a:r>
            <a:rPr lang="ru-RU" sz="1400" b="1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2020году- 3542,3 тыс.рублей</a:t>
          </a:r>
        </a:p>
        <a:p>
          <a:endParaRPr lang="ru-RU" sz="1400"/>
        </a:p>
      </dgm:t>
    </dgm:pt>
    <dgm:pt modelId="{AB589D49-E924-4AE1-AC36-9DB7F548CF6D}" type="parTrans" cxnId="{8241B89B-969C-429B-97DE-897466BD3E27}">
      <dgm:prSet/>
      <dgm:spPr/>
      <dgm:t>
        <a:bodyPr/>
        <a:lstStyle/>
        <a:p>
          <a:endParaRPr lang="ru-RU"/>
        </a:p>
      </dgm:t>
    </dgm:pt>
    <dgm:pt modelId="{9AE9136B-3492-4932-A69E-92AA515613A0}" type="sibTrans" cxnId="{8241B89B-969C-429B-97DE-897466BD3E27}">
      <dgm:prSet/>
      <dgm:spPr/>
      <dgm:t>
        <a:bodyPr/>
        <a:lstStyle/>
        <a:p>
          <a:endParaRPr lang="ru-RU"/>
        </a:p>
      </dgm:t>
    </dgm:pt>
    <dgm:pt modelId="{F261ADC7-CBF5-4BA8-845A-6432EDC71245}" type="pres">
      <dgm:prSet presAssocID="{43250ED5-A426-428E-8F79-A8CEAB53C461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EAC9AEF-720D-4BA2-B67F-E271FEA98FA2}" type="pres">
      <dgm:prSet presAssocID="{B27F652E-337A-43BB-B8B8-311FCA4DABFC}" presName="node" presStyleLbl="node1" presStyleIdx="0" presStyleCnt="3" custScaleX="130255" custScaleY="1654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294A28-9479-48AD-8CCE-F303C8F250B9}" type="pres">
      <dgm:prSet presAssocID="{8229BA4F-7781-4EF9-BF44-C2F90D65BA54}" presName="sibTrans" presStyleCnt="0"/>
      <dgm:spPr/>
    </dgm:pt>
    <dgm:pt modelId="{8645FF11-9FDA-440D-AC13-8AC2CE6B1CF5}" type="pres">
      <dgm:prSet presAssocID="{EB6485E5-9102-4E7E-A1C4-328F3DE7375C}" presName="node" presStyleLbl="node1" presStyleIdx="1" presStyleCnt="3" custScaleX="139733" custScaleY="11535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6DF675-9C77-4F92-9618-9A9E256C382A}" type="pres">
      <dgm:prSet presAssocID="{2B38678D-01F3-4D13-87E1-D3A3673EC767}" presName="sibTrans" presStyleCnt="0"/>
      <dgm:spPr/>
    </dgm:pt>
    <dgm:pt modelId="{65957B0E-106D-4514-9C7C-B4367CBFE843}" type="pres">
      <dgm:prSet presAssocID="{C63D4AF2-EFB1-4F89-BEC6-577B4C81A963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6AA6A2A-C8BA-4CA4-9F0F-28645DCF2F59}" type="presOf" srcId="{EB6485E5-9102-4E7E-A1C4-328F3DE7375C}" destId="{8645FF11-9FDA-440D-AC13-8AC2CE6B1CF5}" srcOrd="0" destOrd="0" presId="urn:microsoft.com/office/officeart/2005/8/layout/default#1"/>
    <dgm:cxn modelId="{37887934-3086-4059-80A8-55C1A3355365}" type="presOf" srcId="{43250ED5-A426-428E-8F79-A8CEAB53C461}" destId="{F261ADC7-CBF5-4BA8-845A-6432EDC71245}" srcOrd="0" destOrd="0" presId="urn:microsoft.com/office/officeart/2005/8/layout/default#1"/>
    <dgm:cxn modelId="{B22A8EA5-06BF-481C-A6AA-FC2703B41F67}" srcId="{43250ED5-A426-428E-8F79-A8CEAB53C461}" destId="{EB6485E5-9102-4E7E-A1C4-328F3DE7375C}" srcOrd="1" destOrd="0" parTransId="{0268E105-3B40-4371-8575-322F4E956D2E}" sibTransId="{2B38678D-01F3-4D13-87E1-D3A3673EC767}"/>
    <dgm:cxn modelId="{06FD6E56-DF21-40FF-833E-01819A6E798A}" type="presOf" srcId="{C63D4AF2-EFB1-4F89-BEC6-577B4C81A963}" destId="{65957B0E-106D-4514-9C7C-B4367CBFE843}" srcOrd="0" destOrd="0" presId="urn:microsoft.com/office/officeart/2005/8/layout/default#1"/>
    <dgm:cxn modelId="{8241B89B-969C-429B-97DE-897466BD3E27}" srcId="{43250ED5-A426-428E-8F79-A8CEAB53C461}" destId="{C63D4AF2-EFB1-4F89-BEC6-577B4C81A963}" srcOrd="2" destOrd="0" parTransId="{AB589D49-E924-4AE1-AC36-9DB7F548CF6D}" sibTransId="{9AE9136B-3492-4932-A69E-92AA515613A0}"/>
    <dgm:cxn modelId="{26433D43-D07E-4778-B005-46113CE8E11F}" srcId="{43250ED5-A426-428E-8F79-A8CEAB53C461}" destId="{B27F652E-337A-43BB-B8B8-311FCA4DABFC}" srcOrd="0" destOrd="0" parTransId="{9051FD25-CABB-485F-8C74-1A7977A854CF}" sibTransId="{8229BA4F-7781-4EF9-BF44-C2F90D65BA54}"/>
    <dgm:cxn modelId="{2C3E3DDE-E9AA-43F5-902E-C531376D4510}" type="presOf" srcId="{B27F652E-337A-43BB-B8B8-311FCA4DABFC}" destId="{AEAC9AEF-720D-4BA2-B67F-E271FEA98FA2}" srcOrd="0" destOrd="0" presId="urn:microsoft.com/office/officeart/2005/8/layout/default#1"/>
    <dgm:cxn modelId="{DE088D58-F4C1-426F-8F71-3C256BB6478A}" type="presParOf" srcId="{F261ADC7-CBF5-4BA8-845A-6432EDC71245}" destId="{AEAC9AEF-720D-4BA2-B67F-E271FEA98FA2}" srcOrd="0" destOrd="0" presId="urn:microsoft.com/office/officeart/2005/8/layout/default#1"/>
    <dgm:cxn modelId="{424129F5-6E3C-4B6B-B71E-4BC555F3F954}" type="presParOf" srcId="{F261ADC7-CBF5-4BA8-845A-6432EDC71245}" destId="{7C294A28-9479-48AD-8CCE-F303C8F250B9}" srcOrd="1" destOrd="0" presId="urn:microsoft.com/office/officeart/2005/8/layout/default#1"/>
    <dgm:cxn modelId="{0E1EEF88-53B9-47F1-BF04-F3C5DA45EBF9}" type="presParOf" srcId="{F261ADC7-CBF5-4BA8-845A-6432EDC71245}" destId="{8645FF11-9FDA-440D-AC13-8AC2CE6B1CF5}" srcOrd="2" destOrd="0" presId="urn:microsoft.com/office/officeart/2005/8/layout/default#1"/>
    <dgm:cxn modelId="{49C7032B-8DE0-4801-9FE4-BA57842B179E}" type="presParOf" srcId="{F261ADC7-CBF5-4BA8-845A-6432EDC71245}" destId="{426DF675-9C77-4F92-9618-9A9E256C382A}" srcOrd="3" destOrd="0" presId="urn:microsoft.com/office/officeart/2005/8/layout/default#1"/>
    <dgm:cxn modelId="{D61F245B-465B-45BB-BDA3-A53190E6C172}" type="presParOf" srcId="{F261ADC7-CBF5-4BA8-845A-6432EDC71245}" destId="{65957B0E-106D-4514-9C7C-B4367CBFE843}" srcOrd="4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AC9AEF-720D-4BA2-B67F-E271FEA98FA2}">
      <dsp:nvSpPr>
        <dsp:cNvPr id="0" name=""/>
        <dsp:cNvSpPr/>
      </dsp:nvSpPr>
      <dsp:spPr>
        <a:xfrm>
          <a:off x="2515" y="68936"/>
          <a:ext cx="3719855" cy="283509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none" spc="50">
              <a:ln w="11430"/>
              <a:effectLst/>
            </a:rPr>
            <a:t>Расходы на финансовое обеспечение выполнения муниципального задания муниципальным бюджетным учреждением культуры в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none" spc="50">
              <a:ln w="11430"/>
              <a:effectLst/>
            </a:rPr>
            <a:t>2019году-13827,0 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none" spc="50">
              <a:ln w="11430"/>
              <a:effectLst/>
            </a:rPr>
            <a:t>2020году-5304,0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none" spc="50">
              <a:ln w="11430"/>
              <a:effectLst/>
            </a:rPr>
            <a:t>2021году-3480,6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2515" y="68936"/>
        <a:ext cx="3719855" cy="2835098"/>
      </dsp:txXfrm>
    </dsp:sp>
    <dsp:sp modelId="{8645FF11-9FDA-440D-AC13-8AC2CE6B1CF5}">
      <dsp:nvSpPr>
        <dsp:cNvPr id="0" name=""/>
        <dsp:cNvSpPr/>
      </dsp:nvSpPr>
      <dsp:spPr>
        <a:xfrm>
          <a:off x="4007953" y="498150"/>
          <a:ext cx="3990530" cy="1976671"/>
        </a:xfrm>
        <a:prstGeom prst="rect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Расходы на реализацию муниципальной  целевой программы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2019году-13885,1тыс.рублей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2020году-5361,4 тыс.рублей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2021году-3538,1 тыс.рублей</a:t>
          </a:r>
        </a:p>
      </dsp:txBody>
      <dsp:txXfrm>
        <a:off x="4007953" y="498150"/>
        <a:ext cx="3990530" cy="1976671"/>
      </dsp:txXfrm>
    </dsp:sp>
    <dsp:sp modelId="{65957B0E-106D-4514-9C7C-B4367CBFE843}">
      <dsp:nvSpPr>
        <dsp:cNvPr id="0" name=""/>
        <dsp:cNvSpPr/>
      </dsp:nvSpPr>
      <dsp:spPr>
        <a:xfrm>
          <a:off x="2572587" y="3189617"/>
          <a:ext cx="2855825" cy="1713495"/>
        </a:xfrm>
        <a:prstGeom prst="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Общий объем расходов по отрасли "КУЛЬТУРА"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2019году-13889,3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2020году- 5365,6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2020году- 3542,3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2572587" y="3189617"/>
        <a:ext cx="2855825" cy="17134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D0DC2F6-4C26-474D-8B0D-129083C70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14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52</cp:revision>
  <cp:lastPrinted>2015-03-06T06:58:00Z</cp:lastPrinted>
  <dcterms:created xsi:type="dcterms:W3CDTF">2018-02-20T10:23:00Z</dcterms:created>
  <dcterms:modified xsi:type="dcterms:W3CDTF">2019-02-19T06:33:00Z</dcterms:modified>
</cp:coreProperties>
</file>