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7974E4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Проект </w:t>
      </w:r>
      <w:r w:rsidR="005A5B9C"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>
        <w:rPr>
          <w:rFonts w:ascii="Times New Roman" w:hAnsi="Times New Roman" w:cs="Times New Roman"/>
          <w:b/>
          <w:color w:val="00B050"/>
          <w:sz w:val="66"/>
          <w:szCs w:val="66"/>
        </w:rPr>
        <w:t>а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3372EE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2020 – 2022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523B20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3372EE">
        <w:rPr>
          <w:rFonts w:ascii="Times New Roman" w:hAnsi="Times New Roman" w:cs="Times New Roman"/>
          <w:color w:val="7030A0"/>
          <w:sz w:val="52"/>
          <w:szCs w:val="52"/>
        </w:rPr>
        <w:t>2020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3372EE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2021 и 2022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523B20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2020-2022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523B20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2020-2022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31.10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9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191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523B20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0C6CE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 xml:space="preserve">Проект </w:t>
      </w:r>
      <w:r w:rsidR="00B06962">
        <w:rPr>
          <w:rFonts w:ascii="Times New Roman" w:hAnsi="Times New Roman" w:cs="Times New Roman"/>
          <w:color w:val="7030A0"/>
          <w:sz w:val="52"/>
          <w:szCs w:val="52"/>
        </w:rPr>
        <w:t>Бюджет</w:t>
      </w:r>
      <w:r>
        <w:rPr>
          <w:rFonts w:ascii="Times New Roman" w:hAnsi="Times New Roman" w:cs="Times New Roman"/>
          <w:color w:val="7030A0"/>
          <w:sz w:val="52"/>
          <w:szCs w:val="52"/>
        </w:rPr>
        <w:t>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621BF2">
        <w:rPr>
          <w:rFonts w:ascii="Times New Roman" w:hAnsi="Times New Roman" w:cs="Times New Roman"/>
          <w:color w:val="7030A0"/>
          <w:sz w:val="52"/>
          <w:szCs w:val="52"/>
        </w:rPr>
        <w:t>2020 год и на плановый период 2021 и 2022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523B20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523B2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523B2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523B2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проекта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621BF2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2020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621BF2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2021 и 2022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621BF2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621BF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621BF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621BF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621BF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27945,2</w:t>
            </w:r>
          </w:p>
        </w:tc>
        <w:tc>
          <w:tcPr>
            <w:tcW w:w="2551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86189,9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104750,3</w:t>
            </w:r>
          </w:p>
        </w:tc>
        <w:tc>
          <w:tcPr>
            <w:tcW w:w="2552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164539,3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621BF2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4138,5</w:t>
            </w:r>
          </w:p>
        </w:tc>
        <w:tc>
          <w:tcPr>
            <w:tcW w:w="2551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6463,8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6687,2</w:t>
            </w:r>
          </w:p>
        </w:tc>
        <w:tc>
          <w:tcPr>
            <w:tcW w:w="2552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6825,7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621BF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23806,7</w:t>
            </w:r>
          </w:p>
        </w:tc>
        <w:tc>
          <w:tcPr>
            <w:tcW w:w="2551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79726,1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98063,1</w:t>
            </w:r>
          </w:p>
        </w:tc>
        <w:tc>
          <w:tcPr>
            <w:tcW w:w="2552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157713,6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621BF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29500,2</w:t>
            </w:r>
          </w:p>
        </w:tc>
        <w:tc>
          <w:tcPr>
            <w:tcW w:w="2551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86239,9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104750,3</w:t>
            </w:r>
          </w:p>
        </w:tc>
        <w:tc>
          <w:tcPr>
            <w:tcW w:w="2552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164539,3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-1555,0</w:t>
            </w:r>
          </w:p>
        </w:tc>
        <w:tc>
          <w:tcPr>
            <w:tcW w:w="2551" w:type="dxa"/>
          </w:tcPr>
          <w:p w:rsidR="00EA2789" w:rsidRPr="000C2E5D" w:rsidRDefault="00C056F0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E50BB">
              <w:rPr>
                <w:b/>
                <w:sz w:val="24"/>
                <w:szCs w:val="24"/>
              </w:rPr>
              <w:t>5</w:t>
            </w:r>
            <w:r w:rsidR="00621BF2"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302EF6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302EF6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302EF6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2020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302EF6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6 463,8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3F4DAF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2020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3F4DAF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86 239,9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C07E2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2019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C07E2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2020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C07E2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C07E2B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56,7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145,7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0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0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07E2B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44,0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</w:t>
            </w:r>
            <w:bookmarkStart w:id="0" w:name="_GoBack"/>
            <w:bookmarkEnd w:id="0"/>
            <w:r w:rsidRPr="00C706DD">
              <w:rPr>
                <w:sz w:val="28"/>
                <w:szCs w:val="28"/>
              </w:rPr>
              <w:t xml:space="preserve">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41,3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36,7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304,1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320,4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320,4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07E2B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320,4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20" w:rsidRDefault="00523B20" w:rsidP="001268EE">
      <w:pPr>
        <w:spacing w:after="0" w:line="240" w:lineRule="auto"/>
      </w:pPr>
      <w:r>
        <w:separator/>
      </w:r>
    </w:p>
  </w:endnote>
  <w:endnote w:type="continuationSeparator" w:id="0">
    <w:p w:rsidR="00523B20" w:rsidRDefault="00523B20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20" w:rsidRDefault="00523B20" w:rsidP="001268EE">
      <w:pPr>
        <w:spacing w:after="0" w:line="240" w:lineRule="auto"/>
      </w:pPr>
      <w:r>
        <w:separator/>
      </w:r>
    </w:p>
  </w:footnote>
  <w:footnote w:type="continuationSeparator" w:id="0">
    <w:p w:rsidR="00523B20" w:rsidRDefault="00523B20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70DC4"/>
    <w:rsid w:val="00172445"/>
    <w:rsid w:val="00173E43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119C3"/>
    <w:rsid w:val="002122A0"/>
    <w:rsid w:val="00224104"/>
    <w:rsid w:val="00237370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F3985"/>
    <w:rsid w:val="00302EF6"/>
    <w:rsid w:val="00310830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C3478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23B20"/>
    <w:rsid w:val="005251D3"/>
    <w:rsid w:val="005540B6"/>
    <w:rsid w:val="005665A0"/>
    <w:rsid w:val="0058635E"/>
    <w:rsid w:val="005864C5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11E9B"/>
    <w:rsid w:val="0082291F"/>
    <w:rsid w:val="008423D1"/>
    <w:rsid w:val="00847E1A"/>
    <w:rsid w:val="008842C3"/>
    <w:rsid w:val="008A7CF6"/>
    <w:rsid w:val="008C002D"/>
    <w:rsid w:val="008C6A0B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73F3"/>
    <w:rsid w:val="00A17C3C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7B7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07E2B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535C"/>
    <w:rsid w:val="00CF5CF7"/>
    <w:rsid w:val="00D168ED"/>
    <w:rsid w:val="00D36B3F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D4280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D7B8E"/>
    <w:rsid w:val="00FE50B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23806,7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79726,1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98063,1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157713,6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23806.7</c:v>
                </c:pt>
                <c:pt idx="1">
                  <c:v>79726.100000000006</c:v>
                </c:pt>
                <c:pt idx="2">
                  <c:v>98063.1</c:v>
                </c:pt>
                <c:pt idx="3">
                  <c:v>157713.60000000001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4138,5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6463,8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6687,2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6825,7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4138.5</c:v>
                </c:pt>
                <c:pt idx="1">
                  <c:v>6463.8</c:v>
                </c:pt>
                <c:pt idx="2">
                  <c:v>6687.2</c:v>
                </c:pt>
                <c:pt idx="3">
                  <c:v>6825.7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554304"/>
        <c:axId val="43556224"/>
      </c:barChart>
      <c:catAx>
        <c:axId val="4355430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2019(первонач.)                               2020                                 2021                           2022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43556224"/>
        <c:crosses val="autoZero"/>
        <c:auto val="1"/>
        <c:lblAlgn val="ctr"/>
        <c:lblOffset val="100"/>
        <c:noMultiLvlLbl val="0"/>
      </c:catAx>
      <c:valAx>
        <c:axId val="43556224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554304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НДФЛ- 1622,8</c:v>
                </c:pt>
                <c:pt idx="1">
                  <c:v>Налоги на имущество- 2062,8</c:v>
                </c:pt>
                <c:pt idx="2">
                  <c:v>Налоги на совокупный налог- 4.5</c:v>
                </c:pt>
                <c:pt idx="3">
                  <c:v>Госпошлина- 73.7</c:v>
                </c:pt>
                <c:pt idx="4">
                  <c:v>Неналоговые доходы- 315.0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1622.8</c:v>
                </c:pt>
                <c:pt idx="1">
                  <c:v>2062.8000000000002</c:v>
                </c:pt>
                <c:pt idx="2">
                  <c:v>4.5</c:v>
                </c:pt>
                <c:pt idx="3">
                  <c:v>73.7</c:v>
                </c:pt>
                <c:pt idx="4">
                  <c:v>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1447.5</c:v>
                </c:pt>
                <c:pt idx="1">
                  <c:v>1679.3</c:v>
                </c:pt>
                <c:pt idx="2">
                  <c:v>1762.3</c:v>
                </c:pt>
                <c:pt idx="3">
                  <c:v>1747.4</c:v>
                </c:pt>
                <c:pt idx="4">
                  <c:v>1844.2</c:v>
                </c:pt>
                <c:pt idx="5">
                  <c:v>1943.8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2017</c:v>
                </c:pt>
                <c:pt idx="1">
                  <c:v>Факт 2018</c:v>
                </c:pt>
                <c:pt idx="2">
                  <c:v>Факт 2019</c:v>
                </c:pt>
                <c:pt idx="3">
                  <c:v>Проект2020</c:v>
                </c:pt>
                <c:pt idx="4">
                  <c:v>Проект2021</c:v>
                </c:pt>
                <c:pt idx="5">
                  <c:v>Проект2022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54052608"/>
        <c:axId val="254054400"/>
      </c:barChart>
      <c:catAx>
        <c:axId val="254052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54054400"/>
        <c:crosses val="autoZero"/>
        <c:auto val="1"/>
        <c:lblAlgn val="ctr"/>
        <c:lblOffset val="100"/>
        <c:noMultiLvlLbl val="0"/>
      </c:catAx>
      <c:valAx>
        <c:axId val="25405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405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157713,6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23806.7</c:v>
                </c:pt>
                <c:pt idx="1">
                  <c:v>79726.100000000006</c:v>
                </c:pt>
                <c:pt idx="2">
                  <c:v>98063.1</c:v>
                </c:pt>
                <c:pt idx="3">
                  <c:v>157713.60000000001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54060800"/>
        <c:axId val="255480960"/>
      </c:barChart>
      <c:catAx>
        <c:axId val="254060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5480960"/>
        <c:crosses val="autoZero"/>
        <c:auto val="1"/>
        <c:lblAlgn val="ctr"/>
        <c:lblOffset val="100"/>
        <c:noMultiLvlLbl val="0"/>
      </c:catAx>
      <c:valAx>
        <c:axId val="25548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406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29500,2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86239,9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104750,3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164539,3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29500.2</c:v>
                </c:pt>
                <c:pt idx="1">
                  <c:v>86239.9</c:v>
                </c:pt>
                <c:pt idx="2">
                  <c:v>104750.3</c:v>
                </c:pt>
                <c:pt idx="3">
                  <c:v>164539.29999999999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255487360"/>
        <c:axId val="255495552"/>
      </c:barChart>
      <c:catAx>
        <c:axId val="2554873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255495552"/>
        <c:crosses val="autoZero"/>
        <c:auto val="1"/>
        <c:lblAlgn val="ctr"/>
        <c:lblOffset val="100"/>
        <c:noMultiLvlLbl val="0"/>
      </c:catAx>
      <c:valAx>
        <c:axId val="255495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55487360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соцполитика-205,5</c:v>
                </c:pt>
                <c:pt idx="1">
                  <c:v>культура-17112,0</c:v>
                </c:pt>
                <c:pt idx="2">
                  <c:v>физкультура и спорт-20</c:v>
                </c:pt>
                <c:pt idx="3">
                  <c:v>нацэкономика-208,0</c:v>
                </c:pt>
                <c:pt idx="4">
                  <c:v>ЖКХ-59900,3</c:v>
                </c:pt>
                <c:pt idx="5">
                  <c:v>образование 15,0</c:v>
                </c:pt>
                <c:pt idx="6">
                  <c:v>общегос-ые вопросы-8279,8</c:v>
                </c:pt>
                <c:pt idx="7">
                  <c:v>нацбезопастность и правоохранит. Деятельность,нацоборона-499,3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205.5</c:v>
                </c:pt>
                <c:pt idx="1">
                  <c:v>17112</c:v>
                </c:pt>
                <c:pt idx="2">
                  <c:v>20</c:v>
                </c:pt>
                <c:pt idx="3">
                  <c:v>208</c:v>
                </c:pt>
                <c:pt idx="4">
                  <c:v>59900.3</c:v>
                </c:pt>
                <c:pt idx="5">
                  <c:v>15</c:v>
                </c:pt>
                <c:pt idx="6">
                  <c:v>8279.7999999999993</c:v>
                </c:pt>
                <c:pt idx="7">
                  <c:v>499.3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13899.3</c:v>
                </c:pt>
                <c:pt idx="1">
                  <c:v>17112</c:v>
                </c:pt>
                <c:pt idx="2">
                  <c:v>4100.8</c:v>
                </c:pt>
                <c:pt idx="3">
                  <c:v>4269.3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5460480"/>
        <c:axId val="255462016"/>
      </c:areaChart>
      <c:catAx>
        <c:axId val="25546048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55462016"/>
        <c:crosses val="autoZero"/>
        <c:auto val="1"/>
        <c:lblAlgn val="ctr"/>
        <c:lblOffset val="100"/>
        <c:noMultiLvlLbl val="0"/>
      </c:catAx>
      <c:valAx>
        <c:axId val="255462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55460480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2019год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29158.2</c:v>
                </c:pt>
                <c:pt idx="1">
                  <c:v>85869.3</c:v>
                </c:pt>
                <c:pt idx="2">
                  <c:v>103327.1</c:v>
                </c:pt>
                <c:pt idx="3">
                  <c:v>163541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2183808"/>
        <c:axId val="202185344"/>
        <c:axId val="0"/>
      </c:bar3DChart>
      <c:catAx>
        <c:axId val="2021838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85344"/>
        <c:crosses val="autoZero"/>
        <c:auto val="1"/>
        <c:lblAlgn val="ctr"/>
        <c:lblOffset val="100"/>
        <c:noMultiLvlLbl val="0"/>
      </c:catAx>
      <c:valAx>
        <c:axId val="202185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83808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2020году-17054,3,0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2021году-4044,1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2022году-4212,6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году-17107,8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году-4096,4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году-4264,7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2020году-17112,0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2021году- 4100,8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2022году- 4269,3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D7E540B2-C858-44FF-85F9-BA44B896B192}" type="presOf" srcId="{B27F652E-337A-43BB-B8B8-311FCA4DABFC}" destId="{AEAC9AEF-720D-4BA2-B67F-E271FEA98FA2}" srcOrd="0" destOrd="0" presId="urn:microsoft.com/office/officeart/2005/8/layout/default#1"/>
    <dgm:cxn modelId="{546412F1-36C2-401D-90C8-4F615FD03E0D}" type="presOf" srcId="{EB6485E5-9102-4E7E-A1C4-328F3DE7375C}" destId="{8645FF11-9FDA-440D-AC13-8AC2CE6B1CF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0A69CB2A-3523-4701-B061-4ED4A630F1E1}" type="presOf" srcId="{C63D4AF2-EFB1-4F89-BEC6-577B4C81A963}" destId="{65957B0E-106D-4514-9C7C-B4367CBFE843}" srcOrd="0" destOrd="0" presId="urn:microsoft.com/office/officeart/2005/8/layout/default#1"/>
    <dgm:cxn modelId="{4EA7A16F-C2E3-4B77-B241-550713BE233A}" type="presOf" srcId="{43250ED5-A426-428E-8F79-A8CEAB53C461}" destId="{F261ADC7-CBF5-4BA8-845A-6432EDC71245}" srcOrd="0" destOrd="0" presId="urn:microsoft.com/office/officeart/2005/8/layout/default#1"/>
    <dgm:cxn modelId="{4F83785A-C0E1-40F4-A3DD-508D2D18F53A}" type="presParOf" srcId="{F261ADC7-CBF5-4BA8-845A-6432EDC71245}" destId="{AEAC9AEF-720D-4BA2-B67F-E271FEA98FA2}" srcOrd="0" destOrd="0" presId="urn:microsoft.com/office/officeart/2005/8/layout/default#1"/>
    <dgm:cxn modelId="{5FCB70FC-B9CE-466F-A5CA-47222FD4DA00}" type="presParOf" srcId="{F261ADC7-CBF5-4BA8-845A-6432EDC71245}" destId="{7C294A28-9479-48AD-8CCE-F303C8F250B9}" srcOrd="1" destOrd="0" presId="urn:microsoft.com/office/officeart/2005/8/layout/default#1"/>
    <dgm:cxn modelId="{966EF464-FAC2-41DC-847E-FC9BB821D35A}" type="presParOf" srcId="{F261ADC7-CBF5-4BA8-845A-6432EDC71245}" destId="{8645FF11-9FDA-440D-AC13-8AC2CE6B1CF5}" srcOrd="2" destOrd="0" presId="urn:microsoft.com/office/officeart/2005/8/layout/default#1"/>
    <dgm:cxn modelId="{FD8408DC-9273-44E3-9FA1-9B53D876374F}" type="presParOf" srcId="{F261ADC7-CBF5-4BA8-845A-6432EDC71245}" destId="{426DF675-9C77-4F92-9618-9A9E256C382A}" srcOrd="3" destOrd="0" presId="urn:microsoft.com/office/officeart/2005/8/layout/default#1"/>
    <dgm:cxn modelId="{1BF726ED-0809-4743-949F-718E664ED20F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2020году-17054,3,0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2021году-4044,1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2022году-4212,6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году-17107,8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году-4096,4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году-4264,7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2020году-17112,0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2021году- 4100,8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2022году- 4269,3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42DAF5-C390-46D3-AE73-1EC461B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2015-03-06T06:58:00Z</cp:lastPrinted>
  <dcterms:created xsi:type="dcterms:W3CDTF">2018-02-20T10:23:00Z</dcterms:created>
  <dcterms:modified xsi:type="dcterms:W3CDTF">2020-02-13T05:56:00Z</dcterms:modified>
</cp:coreProperties>
</file>