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>
    <v:background id="_x0000_s1025" o:bwmode="white" fillcolor="#dbe5f1 [660]">
      <v:fill r:id="rId5" o:title="60%" type="pattern"/>
    </v:background>
  </w:background>
  <w:body>
    <w:p w:rsidR="00757D79" w:rsidRPr="00E15AAE" w:rsidRDefault="009F62E3" w:rsidP="0061527F">
      <w:pPr>
        <w:jc w:val="center"/>
        <w:rPr>
          <w:color w:val="0F243E" w:themeColor="text2" w:themeShade="80"/>
          <w:sz w:val="60"/>
          <w:szCs w:val="60"/>
        </w:rPr>
      </w:pPr>
      <w:r>
        <w:rPr>
          <w:color w:val="0F243E" w:themeColor="text2" w:themeShade="80"/>
          <w:sz w:val="60"/>
          <w:szCs w:val="60"/>
        </w:rPr>
        <w:t>Администрация Горняцкого</w:t>
      </w:r>
      <w:r w:rsidR="00757D79" w:rsidRPr="00E15AAE">
        <w:rPr>
          <w:color w:val="0F243E" w:themeColor="text2" w:themeShade="80"/>
          <w:sz w:val="60"/>
          <w:szCs w:val="60"/>
        </w:rPr>
        <w:t xml:space="preserve"> сельского поселения</w:t>
      </w:r>
    </w:p>
    <w:p w:rsidR="00DC52B1" w:rsidRPr="00757D79" w:rsidRDefault="00DC52B1" w:rsidP="0061527F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2495550" cy="1828800"/>
            <wp:effectExtent l="19050" t="0" r="0" b="0"/>
            <wp:docPr id="3" name="Рисунок 2" descr="wpid-50d643637136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id-50d6436371366[1]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054" cy="183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888" w:rsidRPr="00F867EC" w:rsidRDefault="007974E4" w:rsidP="0061527F">
      <w:pPr>
        <w:jc w:val="center"/>
        <w:rPr>
          <w:rFonts w:ascii="Times New Roman" w:hAnsi="Times New Roman" w:cs="Times New Roman"/>
          <w:b/>
          <w:color w:val="00B050"/>
          <w:sz w:val="66"/>
          <w:szCs w:val="66"/>
        </w:rPr>
      </w:pPr>
      <w:r>
        <w:rPr>
          <w:rFonts w:ascii="Times New Roman" w:hAnsi="Times New Roman" w:cs="Times New Roman"/>
          <w:b/>
          <w:color w:val="00B050"/>
          <w:sz w:val="66"/>
          <w:szCs w:val="66"/>
        </w:rPr>
        <w:t xml:space="preserve">Проект </w:t>
      </w:r>
      <w:r w:rsidR="005A5B9C">
        <w:rPr>
          <w:rFonts w:ascii="Times New Roman" w:hAnsi="Times New Roman" w:cs="Times New Roman"/>
          <w:b/>
          <w:color w:val="00B050"/>
          <w:sz w:val="66"/>
          <w:szCs w:val="66"/>
        </w:rPr>
        <w:t>Бюджет</w:t>
      </w:r>
      <w:r>
        <w:rPr>
          <w:rFonts w:ascii="Times New Roman" w:hAnsi="Times New Roman" w:cs="Times New Roman"/>
          <w:b/>
          <w:color w:val="00B050"/>
          <w:sz w:val="66"/>
          <w:szCs w:val="66"/>
        </w:rPr>
        <w:t>а</w:t>
      </w:r>
      <w:r w:rsidR="009F62E3" w:rsidRPr="00F867EC">
        <w:rPr>
          <w:rFonts w:ascii="Times New Roman" w:hAnsi="Times New Roman" w:cs="Times New Roman"/>
          <w:b/>
          <w:color w:val="00B050"/>
          <w:sz w:val="66"/>
          <w:szCs w:val="66"/>
        </w:rPr>
        <w:t xml:space="preserve"> Горняцкого</w:t>
      </w:r>
      <w:r w:rsidR="00942888" w:rsidRPr="00F867EC">
        <w:rPr>
          <w:rFonts w:ascii="Times New Roman" w:hAnsi="Times New Roman" w:cs="Times New Roman"/>
          <w:b/>
          <w:color w:val="00B050"/>
          <w:sz w:val="66"/>
          <w:szCs w:val="66"/>
        </w:rPr>
        <w:t xml:space="preserve"> сельского поселения Белокалитвинского района</w:t>
      </w:r>
    </w:p>
    <w:p w:rsidR="00757D79" w:rsidRPr="00F867EC" w:rsidRDefault="00F40389" w:rsidP="0061527F">
      <w:pPr>
        <w:jc w:val="center"/>
        <w:rPr>
          <w:rFonts w:ascii="Times New Roman" w:hAnsi="Times New Roman" w:cs="Times New Roman"/>
          <w:b/>
          <w:color w:val="00B050"/>
          <w:sz w:val="66"/>
          <w:szCs w:val="66"/>
        </w:rPr>
      </w:pPr>
      <w:r>
        <w:rPr>
          <w:rFonts w:ascii="Times New Roman" w:hAnsi="Times New Roman" w:cs="Times New Roman"/>
          <w:b/>
          <w:color w:val="00B050"/>
          <w:sz w:val="66"/>
          <w:szCs w:val="66"/>
        </w:rPr>
        <w:t xml:space="preserve"> на 2022 – 2024</w:t>
      </w:r>
      <w:r w:rsidR="00942888" w:rsidRPr="00F867EC">
        <w:rPr>
          <w:rFonts w:ascii="Times New Roman" w:hAnsi="Times New Roman" w:cs="Times New Roman"/>
          <w:b/>
          <w:color w:val="00B050"/>
          <w:sz w:val="66"/>
          <w:szCs w:val="66"/>
        </w:rPr>
        <w:t xml:space="preserve"> годы</w:t>
      </w:r>
    </w:p>
    <w:p w:rsidR="00F867EC" w:rsidRDefault="004015EB" w:rsidP="00B904CF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:rsidR="00F867EC" w:rsidRDefault="00F867EC" w:rsidP="00B904CF">
      <w:pPr>
        <w:rPr>
          <w:sz w:val="40"/>
          <w:szCs w:val="40"/>
        </w:rPr>
      </w:pPr>
    </w:p>
    <w:p w:rsidR="001A7E0E" w:rsidRDefault="001A7E0E" w:rsidP="00F867EC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</w:p>
    <w:p w:rsidR="003C127B" w:rsidRDefault="002E5236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lastRenderedPageBreak/>
        <w:pict>
          <v:roundrect id="_x0000_s1050" style="position:absolute;left:0;text-align:left;margin-left:41.55pt;margin-top:64.25pt;width:724.5pt;height:3.55pt;z-index:251676672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3C127B" w:rsidRPr="000F2472" w:rsidRDefault="003C127B" w:rsidP="003C127B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="003C127B">
        <w:rPr>
          <w:rFonts w:ascii="Times New Roman" w:hAnsi="Times New Roman" w:cs="Times New Roman"/>
          <w:color w:val="7030A0"/>
          <w:sz w:val="52"/>
          <w:szCs w:val="52"/>
        </w:rPr>
        <w:t>Основы</w:t>
      </w:r>
      <w:r w:rsidR="003C127B"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формирования бюджета на </w:t>
      </w:r>
      <w:r w:rsidR="00F40389">
        <w:rPr>
          <w:rFonts w:ascii="Times New Roman" w:hAnsi="Times New Roman" w:cs="Times New Roman"/>
          <w:color w:val="7030A0"/>
          <w:sz w:val="52"/>
          <w:szCs w:val="52"/>
        </w:rPr>
        <w:t>2022</w:t>
      </w:r>
      <w:r w:rsidR="002E3448">
        <w:rPr>
          <w:rFonts w:ascii="Times New Roman" w:hAnsi="Times New Roman" w:cs="Times New Roman"/>
          <w:color w:val="7030A0"/>
          <w:sz w:val="52"/>
          <w:szCs w:val="52"/>
        </w:rPr>
        <w:t xml:space="preserve"> </w:t>
      </w:r>
      <w:r w:rsidR="00F40389">
        <w:rPr>
          <w:rFonts w:ascii="Times New Roman" w:hAnsi="Times New Roman" w:cs="Times New Roman"/>
          <w:color w:val="7030A0"/>
          <w:sz w:val="52"/>
          <w:szCs w:val="52"/>
        </w:rPr>
        <w:t>год и на плановый период 2023 и 2024</w:t>
      </w:r>
      <w:r w:rsidR="003C127B"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годов</w:t>
      </w:r>
    </w:p>
    <w:p w:rsidR="00746CAF" w:rsidRDefault="002E5236" w:rsidP="001A7E0E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roundrect id="_x0000_s1051" style="position:absolute;left:0;text-align:left;margin-left:15.3pt;margin-top:3.9pt;width:732.65pt;height:68.2pt;z-index:251677696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746CAF" w:rsidRPr="000F2472" w:rsidRDefault="00746CAF" w:rsidP="00746CAF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  <w:r>
                    <w:rPr>
                      <w:rFonts w:ascii="Georgia" w:hAnsi="Georgia"/>
                      <w:sz w:val="40"/>
                      <w:szCs w:val="40"/>
                    </w:rPr>
                    <w:t>Прогноз социально-экономического развития Горняц</w:t>
                  </w:r>
                  <w:r w:rsidR="00F40389">
                    <w:rPr>
                      <w:rFonts w:ascii="Georgia" w:hAnsi="Georgia"/>
                      <w:sz w:val="40"/>
                      <w:szCs w:val="40"/>
                    </w:rPr>
                    <w:t>кого сельского поселения на 2022-2024</w:t>
                  </w:r>
                  <w:r>
                    <w:rPr>
                      <w:rFonts w:ascii="Georgia" w:hAnsi="Georgia"/>
                      <w:sz w:val="40"/>
                      <w:szCs w:val="40"/>
                    </w:rPr>
                    <w:t xml:space="preserve"> годы</w:t>
                  </w:r>
                </w:p>
                <w:p w:rsidR="00746CAF" w:rsidRPr="000F2472" w:rsidRDefault="00746CAF" w:rsidP="00746CAF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746CAF" w:rsidRDefault="00746CAF" w:rsidP="001A7E0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C127B" w:rsidRDefault="002E5236" w:rsidP="001A7E0E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color w:val="7030A0"/>
          <w:sz w:val="52"/>
          <w:szCs w:val="52"/>
          <w:lang w:eastAsia="ru-RU"/>
        </w:rPr>
        <w:pict>
          <v:roundrect id="_x0000_s1048" style="position:absolute;left:0;text-align:left;margin-left:15.3pt;margin-top:9.95pt;width:742.5pt;height:88.95pt;z-index:251674624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1A7E0E" w:rsidRPr="000F2472" w:rsidRDefault="001A7E0E" w:rsidP="001A7E0E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Georgia" w:hAnsi="Georgia"/>
                      <w:sz w:val="40"/>
                      <w:szCs w:val="40"/>
                    </w:rPr>
                    <w:t>Основные направления бюджетной и налоговой политики Горняц</w:t>
                  </w:r>
                  <w:r w:rsidR="00F40389">
                    <w:rPr>
                      <w:rFonts w:ascii="Georgia" w:hAnsi="Georgia"/>
                      <w:sz w:val="40"/>
                      <w:szCs w:val="40"/>
                    </w:rPr>
                    <w:t>кого сельского поселения на 2022-2024</w:t>
                  </w:r>
                  <w:r w:rsidR="00F25A13">
                    <w:rPr>
                      <w:rFonts w:ascii="Georgia" w:hAnsi="Georgia"/>
                      <w:sz w:val="40"/>
                      <w:szCs w:val="40"/>
                    </w:rPr>
                    <w:t xml:space="preserve"> годы </w:t>
                  </w:r>
                  <w:r w:rsidR="00F40389">
                    <w:rPr>
                      <w:rFonts w:ascii="Georgia" w:hAnsi="Georgia"/>
                      <w:sz w:val="40"/>
                      <w:szCs w:val="40"/>
                    </w:rPr>
                    <w:t xml:space="preserve">(Постановление АГСП от </w:t>
                  </w:r>
                  <w:r w:rsidR="00BA5E6C">
                    <w:rPr>
                      <w:rFonts w:ascii="Georgia" w:hAnsi="Georgia"/>
                      <w:sz w:val="40"/>
                      <w:szCs w:val="40"/>
                    </w:rPr>
                    <w:t>2</w:t>
                  </w:r>
                  <w:r w:rsidR="00F40389">
                    <w:rPr>
                      <w:rFonts w:ascii="Georgia" w:hAnsi="Georgia"/>
                      <w:sz w:val="40"/>
                      <w:szCs w:val="40"/>
                    </w:rPr>
                    <w:t>9.10.2021</w:t>
                  </w:r>
                  <w:r>
                    <w:rPr>
                      <w:rFonts w:ascii="Georgia" w:hAnsi="Georgia"/>
                      <w:sz w:val="40"/>
                      <w:szCs w:val="40"/>
                    </w:rPr>
                    <w:t xml:space="preserve"> №</w:t>
                  </w:r>
                  <w:r w:rsidR="00F40389">
                    <w:rPr>
                      <w:rFonts w:ascii="Georgia" w:hAnsi="Georgia"/>
                      <w:sz w:val="40"/>
                      <w:szCs w:val="40"/>
                    </w:rPr>
                    <w:t>185</w:t>
                  </w:r>
                  <w:proofErr w:type="gramEnd"/>
                </w:p>
              </w:txbxContent>
            </v:textbox>
          </v:roundrect>
        </w:pict>
      </w:r>
    </w:p>
    <w:p w:rsidR="003C127B" w:rsidRDefault="003C127B" w:rsidP="001A7E0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C127B" w:rsidRDefault="002E5236" w:rsidP="003C127B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roundrect id="_x0000_s1049" style="position:absolute;left:0;text-align:left;margin-left:1.7pt;margin-top:40.5pt;width:746.25pt;height:79.4pt;z-index:251675648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3C127B" w:rsidRPr="000F2472" w:rsidRDefault="00746CAF" w:rsidP="003C127B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  <w:r>
                    <w:rPr>
                      <w:rFonts w:ascii="Georgia" w:hAnsi="Georgia"/>
                      <w:sz w:val="40"/>
                      <w:szCs w:val="40"/>
                    </w:rPr>
                    <w:t>Муниципальные программы Горняцкого сельского поселения</w:t>
                  </w:r>
                </w:p>
                <w:p w:rsidR="003C127B" w:rsidRPr="000F2472" w:rsidRDefault="003C127B" w:rsidP="003C127B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="003C127B">
        <w:rPr>
          <w:rFonts w:ascii="Times New Roman" w:hAnsi="Times New Roman" w:cs="Times New Roman"/>
          <w:sz w:val="52"/>
          <w:szCs w:val="52"/>
        </w:rPr>
        <w:tab/>
      </w:r>
    </w:p>
    <w:p w:rsidR="003C127B" w:rsidRPr="000F2472" w:rsidRDefault="003C127B" w:rsidP="003C127B">
      <w:pPr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Муниципальные программы Горняцкого сельского поселения  на 2014-2016 годы</w:t>
      </w:r>
    </w:p>
    <w:p w:rsidR="003C127B" w:rsidRPr="00C72281" w:rsidRDefault="003C127B" w:rsidP="003C127B">
      <w:pPr>
        <w:jc w:val="center"/>
        <w:rPr>
          <w:rFonts w:ascii="Georgia" w:hAnsi="Georgia"/>
          <w:sz w:val="40"/>
          <w:szCs w:val="40"/>
        </w:rPr>
      </w:pPr>
    </w:p>
    <w:p w:rsidR="00F25A13" w:rsidRDefault="00F25A13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</w:p>
    <w:p w:rsidR="00F25A13" w:rsidRDefault="00F25A13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</w:p>
    <w:p w:rsidR="00746CAF" w:rsidRDefault="000C6CEF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>
        <w:rPr>
          <w:rFonts w:ascii="Times New Roman" w:hAnsi="Times New Roman" w:cs="Times New Roman"/>
          <w:color w:val="7030A0"/>
          <w:sz w:val="52"/>
          <w:szCs w:val="52"/>
        </w:rPr>
        <w:lastRenderedPageBreak/>
        <w:t xml:space="preserve">Проект </w:t>
      </w:r>
      <w:r w:rsidR="00B06962">
        <w:rPr>
          <w:rFonts w:ascii="Times New Roman" w:hAnsi="Times New Roman" w:cs="Times New Roman"/>
          <w:color w:val="7030A0"/>
          <w:sz w:val="52"/>
          <w:szCs w:val="52"/>
        </w:rPr>
        <w:t>Бюджет</w:t>
      </w:r>
      <w:r>
        <w:rPr>
          <w:rFonts w:ascii="Times New Roman" w:hAnsi="Times New Roman" w:cs="Times New Roman"/>
          <w:color w:val="7030A0"/>
          <w:sz w:val="52"/>
          <w:szCs w:val="52"/>
        </w:rPr>
        <w:t>а</w:t>
      </w:r>
    </w:p>
    <w:p w:rsidR="001A7E0E" w:rsidRDefault="001A7E0E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на </w:t>
      </w:r>
      <w:r w:rsidR="00F40389">
        <w:rPr>
          <w:rFonts w:ascii="Times New Roman" w:hAnsi="Times New Roman" w:cs="Times New Roman"/>
          <w:color w:val="7030A0"/>
          <w:sz w:val="52"/>
          <w:szCs w:val="52"/>
        </w:rPr>
        <w:t>2022 год и на плановый период 2023 и 2024</w:t>
      </w:r>
      <w:r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годов</w:t>
      </w:r>
      <w:r w:rsidR="00746CAF">
        <w:rPr>
          <w:rFonts w:ascii="Times New Roman" w:hAnsi="Times New Roman" w:cs="Times New Roman"/>
          <w:color w:val="7030A0"/>
          <w:sz w:val="52"/>
          <w:szCs w:val="52"/>
        </w:rPr>
        <w:t xml:space="preserve"> направлен на решение следующих ключевых задач:</w:t>
      </w:r>
    </w:p>
    <w:p w:rsidR="00757D79" w:rsidRPr="00E15AAE" w:rsidRDefault="002E5236" w:rsidP="00B90BBC">
      <w:pPr>
        <w:rPr>
          <w:color w:val="7030A0"/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oundrect id="_x0000_s1037" style="position:absolute;margin-left:13.05pt;margin-top:59.75pt;width:735.75pt;height:50.95pt;z-index:251664384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5B5F18" w:rsidRPr="008C002D" w:rsidRDefault="008C002D" w:rsidP="000F2472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п</w:t>
                  </w:r>
                  <w:r w:rsidR="00746CAF" w:rsidRPr="008C002D">
                    <w:rPr>
                      <w:rFonts w:ascii="Georgia" w:hAnsi="Georgia"/>
                      <w:sz w:val="28"/>
                      <w:szCs w:val="28"/>
                    </w:rPr>
                    <w:t>овышение эффективности бюджетной политики, в том числе за счет роста эфф</w:t>
                  </w: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ективности бюджетных расходов</w:t>
                  </w:r>
                </w:p>
              </w:txbxContent>
            </v:textbox>
          </v:roundrect>
        </w:pict>
      </w:r>
      <w:r>
        <w:rPr>
          <w:noProof/>
          <w:color w:val="7030A0"/>
          <w:sz w:val="72"/>
          <w:szCs w:val="72"/>
          <w:lang w:eastAsia="ru-RU"/>
        </w:rPr>
        <w:pict>
          <v:roundrect id="_x0000_s1036" style="position:absolute;margin-left:7.8pt;margin-top:2pt;width:746.25pt;height:42.75pt;z-index:251663360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F56EEE" w:rsidRPr="008C002D" w:rsidRDefault="008C002D" w:rsidP="000F2472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о</w:t>
                  </w:r>
                  <w:r w:rsidR="00746CAF" w:rsidRPr="008C002D">
                    <w:rPr>
                      <w:rFonts w:ascii="Georgia" w:hAnsi="Georgia"/>
                      <w:sz w:val="28"/>
                      <w:szCs w:val="28"/>
                    </w:rPr>
                    <w:t>беспечение устойчивости и сбалансированности бюджетной системы в целях гарантированного исполнения действующих принимаемых расходных обязательств</w:t>
                  </w:r>
                </w:p>
              </w:txbxContent>
            </v:textbox>
          </v:roundrect>
        </w:pict>
      </w:r>
    </w:p>
    <w:p w:rsidR="00757D79" w:rsidRDefault="00757D79" w:rsidP="00F56EEE">
      <w:pPr>
        <w:rPr>
          <w:sz w:val="72"/>
          <w:szCs w:val="72"/>
        </w:rPr>
      </w:pPr>
    </w:p>
    <w:p w:rsidR="00757D79" w:rsidRDefault="002E5236" w:rsidP="00F56EEE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oundrect id="_x0000_s1038" style="position:absolute;margin-left:13.05pt;margin-top:13.6pt;width:741pt;height:44.25pt;z-index:251665408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0F2472" w:rsidRPr="008C002D" w:rsidRDefault="008C002D" w:rsidP="000F2472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соответствие финансовых возможностей Горняцкого сельского поселения ключевым направлениям развития</w:t>
                  </w:r>
                </w:p>
              </w:txbxContent>
            </v:textbox>
          </v:roundrect>
        </w:pict>
      </w:r>
    </w:p>
    <w:p w:rsidR="00757D79" w:rsidRDefault="002E5236" w:rsidP="00F56EEE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oundrect id="_x0000_s1040" style="position:absolute;margin-left:7.8pt;margin-top:13.9pt;width:746.25pt;height:53.15pt;z-index:251666432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  <v:textbox>
              <w:txbxContent>
                <w:p w:rsidR="000F2472" w:rsidRPr="008C002D" w:rsidRDefault="008C002D" w:rsidP="00C72281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повышение роли бюджетной политики для поддержки экономического роста</w:t>
                  </w:r>
                </w:p>
              </w:txbxContent>
            </v:textbox>
          </v:roundrect>
        </w:pict>
      </w:r>
    </w:p>
    <w:p w:rsidR="00757D79" w:rsidRDefault="002E5236" w:rsidP="00F56EEE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oundrect id="_x0000_s1041" style="position:absolute;margin-left:2.55pt;margin-top:20.05pt;width:746.25pt;height:56.25pt;z-index:25166745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0F2472" w:rsidRPr="008C002D" w:rsidRDefault="008C002D" w:rsidP="00C72281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повышение прозрачности и открытости бюджетного процесса</w:t>
                  </w:r>
                </w:p>
              </w:txbxContent>
            </v:textbox>
          </v:roundrect>
        </w:pict>
      </w:r>
    </w:p>
    <w:p w:rsidR="00757D79" w:rsidRDefault="00757D79" w:rsidP="0061527F">
      <w:pPr>
        <w:jc w:val="center"/>
        <w:rPr>
          <w:sz w:val="72"/>
          <w:szCs w:val="72"/>
        </w:rPr>
      </w:pPr>
    </w:p>
    <w:p w:rsidR="001268EE" w:rsidRPr="00B904CF" w:rsidRDefault="00945494" w:rsidP="00945494">
      <w:pPr>
        <w:jc w:val="center"/>
        <w:rPr>
          <w:rFonts w:ascii="Times New Roman" w:hAnsi="Times New Roman" w:cs="Times New Roman"/>
          <w:color w:val="C00000"/>
          <w:sz w:val="64"/>
          <w:szCs w:val="64"/>
        </w:rPr>
      </w:pPr>
      <w:r w:rsidRPr="00B904CF">
        <w:rPr>
          <w:rFonts w:ascii="Times New Roman" w:hAnsi="Times New Roman" w:cs="Times New Roman"/>
          <w:color w:val="C00000"/>
          <w:sz w:val="64"/>
          <w:szCs w:val="64"/>
        </w:rPr>
        <w:lastRenderedPageBreak/>
        <w:t>О</w:t>
      </w:r>
      <w:r w:rsidR="001268EE" w:rsidRPr="00B904CF">
        <w:rPr>
          <w:rFonts w:ascii="Times New Roman" w:hAnsi="Times New Roman" w:cs="Times New Roman"/>
          <w:color w:val="C00000"/>
          <w:sz w:val="64"/>
          <w:szCs w:val="64"/>
        </w:rPr>
        <w:t>сновные парам</w:t>
      </w:r>
      <w:r w:rsidR="00B06962">
        <w:rPr>
          <w:rFonts w:ascii="Times New Roman" w:hAnsi="Times New Roman" w:cs="Times New Roman"/>
          <w:color w:val="C00000"/>
          <w:sz w:val="64"/>
          <w:szCs w:val="64"/>
        </w:rPr>
        <w:t xml:space="preserve">етры </w:t>
      </w:r>
      <w:r w:rsidR="000C6CEF">
        <w:rPr>
          <w:rFonts w:ascii="Times New Roman" w:hAnsi="Times New Roman" w:cs="Times New Roman"/>
          <w:color w:val="C00000"/>
          <w:sz w:val="64"/>
          <w:szCs w:val="64"/>
        </w:rPr>
        <w:t xml:space="preserve">проекта </w:t>
      </w:r>
      <w:r w:rsidR="009F62E3" w:rsidRPr="00B904CF">
        <w:rPr>
          <w:rFonts w:ascii="Times New Roman" w:hAnsi="Times New Roman" w:cs="Times New Roman"/>
          <w:color w:val="C00000"/>
          <w:sz w:val="64"/>
          <w:szCs w:val="64"/>
        </w:rPr>
        <w:t>бюджета Горняцкого</w:t>
      </w:r>
      <w:r w:rsidR="001268EE" w:rsidRPr="00B904CF">
        <w:rPr>
          <w:rFonts w:ascii="Times New Roman" w:hAnsi="Times New Roman" w:cs="Times New Roman"/>
          <w:color w:val="C00000"/>
          <w:sz w:val="64"/>
          <w:szCs w:val="64"/>
        </w:rPr>
        <w:t xml:space="preserve"> сельского поселения </w:t>
      </w:r>
      <w:r w:rsidR="00F40389">
        <w:rPr>
          <w:rFonts w:ascii="Times New Roman" w:hAnsi="Times New Roman" w:cs="Times New Roman"/>
          <w:color w:val="C00000"/>
          <w:sz w:val="64"/>
          <w:szCs w:val="64"/>
        </w:rPr>
        <w:t>Белокалитвинского района на 2022</w:t>
      </w:r>
      <w:r w:rsidR="00E15AAE" w:rsidRPr="00B904CF">
        <w:rPr>
          <w:rFonts w:ascii="Times New Roman" w:hAnsi="Times New Roman" w:cs="Times New Roman"/>
          <w:color w:val="C00000"/>
          <w:sz w:val="64"/>
          <w:szCs w:val="64"/>
        </w:rPr>
        <w:t xml:space="preserve"> год и </w:t>
      </w:r>
      <w:r w:rsidR="00F40389">
        <w:rPr>
          <w:rFonts w:ascii="Times New Roman" w:hAnsi="Times New Roman" w:cs="Times New Roman"/>
          <w:color w:val="C00000"/>
          <w:sz w:val="64"/>
          <w:szCs w:val="64"/>
        </w:rPr>
        <w:t xml:space="preserve">  плановый период 2023 и 2024</w:t>
      </w:r>
      <w:r w:rsidR="001268EE" w:rsidRPr="00B904CF">
        <w:rPr>
          <w:rFonts w:ascii="Times New Roman" w:hAnsi="Times New Roman" w:cs="Times New Roman"/>
          <w:color w:val="C00000"/>
          <w:sz w:val="64"/>
          <w:szCs w:val="64"/>
        </w:rPr>
        <w:t xml:space="preserve"> годов.</w:t>
      </w:r>
    </w:p>
    <w:p w:rsidR="00C85E80" w:rsidRPr="00C85E80" w:rsidRDefault="00C85E80" w:rsidP="00C85E80">
      <w:pPr>
        <w:jc w:val="right"/>
        <w:rPr>
          <w:rFonts w:ascii="Georgia" w:hAnsi="Georgia"/>
          <w:sz w:val="28"/>
          <w:szCs w:val="28"/>
        </w:rPr>
      </w:pPr>
      <w:r w:rsidRPr="00C85E80">
        <w:rPr>
          <w:rFonts w:ascii="Georgia" w:hAnsi="Georgia"/>
          <w:sz w:val="28"/>
          <w:szCs w:val="28"/>
        </w:rPr>
        <w:t>(тыс. рублей)</w:t>
      </w:r>
    </w:p>
    <w:tbl>
      <w:tblPr>
        <w:tblStyle w:val="a5"/>
        <w:tblW w:w="14567" w:type="dxa"/>
        <w:tblLook w:val="04A0" w:firstRow="1" w:lastRow="0" w:firstColumn="1" w:lastColumn="0" w:noHBand="0" w:noVBand="1"/>
      </w:tblPr>
      <w:tblGrid>
        <w:gridCol w:w="4475"/>
        <w:gridCol w:w="2721"/>
        <w:gridCol w:w="2551"/>
        <w:gridCol w:w="2268"/>
        <w:gridCol w:w="2552"/>
      </w:tblGrid>
      <w:tr w:rsidR="00EA2789" w:rsidRPr="004C517A" w:rsidTr="00BF7BF1">
        <w:tc>
          <w:tcPr>
            <w:tcW w:w="4475" w:type="dxa"/>
            <w:shd w:val="clear" w:color="auto" w:fill="8DB3E2" w:themeFill="text2" w:themeFillTint="66"/>
          </w:tcPr>
          <w:p w:rsidR="00EA2789" w:rsidRPr="00F76AC8" w:rsidRDefault="00EA2789" w:rsidP="00A47613">
            <w:pPr>
              <w:shd w:val="clear" w:color="auto" w:fill="00B0F0"/>
              <w:rPr>
                <w:sz w:val="28"/>
                <w:szCs w:val="28"/>
              </w:rPr>
            </w:pPr>
            <w:r w:rsidRPr="00F76AC8">
              <w:rPr>
                <w:sz w:val="28"/>
                <w:szCs w:val="28"/>
              </w:rPr>
              <w:t>Показатель</w:t>
            </w:r>
          </w:p>
        </w:tc>
        <w:tc>
          <w:tcPr>
            <w:tcW w:w="2721" w:type="dxa"/>
            <w:shd w:val="clear" w:color="auto" w:fill="8DB3E2" w:themeFill="text2" w:themeFillTint="66"/>
          </w:tcPr>
          <w:p w:rsidR="00EA2789" w:rsidRPr="00F76AC8" w:rsidRDefault="00DE09BC" w:rsidP="00F76AC8">
            <w:pPr>
              <w:shd w:val="clear" w:color="auto" w:fill="00B0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EA2789">
              <w:rPr>
                <w:sz w:val="24"/>
                <w:szCs w:val="24"/>
              </w:rPr>
              <w:t>год</w:t>
            </w:r>
          </w:p>
          <w:p w:rsidR="00EA2789" w:rsidRPr="00F76AC8" w:rsidRDefault="00EA2789" w:rsidP="00A47613">
            <w:pPr>
              <w:shd w:val="clear" w:color="auto" w:fill="00B0F0"/>
              <w:jc w:val="right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8DB3E2" w:themeFill="text2" w:themeFillTint="66"/>
          </w:tcPr>
          <w:p w:rsidR="00EA2789" w:rsidRPr="00F76AC8" w:rsidRDefault="00DE09BC" w:rsidP="00F25A13">
            <w:pPr>
              <w:shd w:val="clear" w:color="auto" w:fill="00B0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EA278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EA2789" w:rsidRPr="00F76AC8" w:rsidRDefault="00DE09BC" w:rsidP="00F25A13">
            <w:pPr>
              <w:shd w:val="clear" w:color="auto" w:fill="00B0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EA278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EA2789" w:rsidRPr="00F76AC8" w:rsidRDefault="00DE09BC" w:rsidP="00F25A13">
            <w:pPr>
              <w:shd w:val="clear" w:color="auto" w:fill="00B0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EA2789">
              <w:rPr>
                <w:sz w:val="24"/>
                <w:szCs w:val="24"/>
              </w:rPr>
              <w:t xml:space="preserve"> год</w:t>
            </w:r>
          </w:p>
        </w:tc>
      </w:tr>
      <w:tr w:rsidR="00EA2789" w:rsidRPr="004C517A" w:rsidTr="00BF7BF1">
        <w:tc>
          <w:tcPr>
            <w:tcW w:w="4475" w:type="dxa"/>
          </w:tcPr>
          <w:p w:rsidR="00EA2789" w:rsidRPr="004C517A" w:rsidRDefault="00EA2789" w:rsidP="00A47613">
            <w:pPr>
              <w:shd w:val="clear" w:color="auto" w:fill="B6DDE8" w:themeFill="accent5" w:themeFillTint="66"/>
              <w:rPr>
                <w:sz w:val="40"/>
                <w:szCs w:val="40"/>
                <w:lang w:val="en-US"/>
              </w:rPr>
            </w:pPr>
          </w:p>
        </w:tc>
        <w:tc>
          <w:tcPr>
            <w:tcW w:w="2721" w:type="dxa"/>
            <w:shd w:val="clear" w:color="auto" w:fill="auto"/>
          </w:tcPr>
          <w:p w:rsidR="00EA2789" w:rsidRPr="00F76AC8" w:rsidRDefault="00EA2789" w:rsidP="00F32E78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  <w:r w:rsidRPr="00F76AC8">
              <w:rPr>
                <w:sz w:val="20"/>
                <w:szCs w:val="20"/>
              </w:rPr>
              <w:t>Решение</w:t>
            </w:r>
          </w:p>
        </w:tc>
        <w:tc>
          <w:tcPr>
            <w:tcW w:w="2551" w:type="dxa"/>
          </w:tcPr>
          <w:p w:rsidR="00EA2789" w:rsidRPr="00F76AC8" w:rsidRDefault="000C6CEF" w:rsidP="00A47613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2268" w:type="dxa"/>
          </w:tcPr>
          <w:p w:rsidR="00EA2789" w:rsidRPr="00F76AC8" w:rsidRDefault="00EA2789" w:rsidP="00A47613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2552" w:type="dxa"/>
          </w:tcPr>
          <w:p w:rsidR="00EA2789" w:rsidRPr="00F76AC8" w:rsidRDefault="00EA2789" w:rsidP="00A47613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I</w:t>
            </w:r>
            <w:r w:rsidRPr="000C2E5D">
              <w:rPr>
                <w:b/>
                <w:sz w:val="28"/>
                <w:szCs w:val="28"/>
              </w:rPr>
              <w:t>.Доходы</w:t>
            </w:r>
          </w:p>
        </w:tc>
        <w:tc>
          <w:tcPr>
            <w:tcW w:w="2721" w:type="dxa"/>
          </w:tcPr>
          <w:p w:rsidR="00EA2789" w:rsidRPr="000C2E5D" w:rsidRDefault="00DE09BC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100329,8</w:t>
            </w:r>
          </w:p>
        </w:tc>
        <w:tc>
          <w:tcPr>
            <w:tcW w:w="2551" w:type="dxa"/>
          </w:tcPr>
          <w:p w:rsidR="00EA2789" w:rsidRPr="000C2E5D" w:rsidRDefault="00A46C93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282061,1</w:t>
            </w:r>
          </w:p>
        </w:tc>
        <w:tc>
          <w:tcPr>
            <w:tcW w:w="2268" w:type="dxa"/>
          </w:tcPr>
          <w:p w:rsidR="00EA2789" w:rsidRPr="000C2E5D" w:rsidRDefault="00A46C93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95924,2</w:t>
            </w:r>
          </w:p>
        </w:tc>
        <w:tc>
          <w:tcPr>
            <w:tcW w:w="2552" w:type="dxa"/>
          </w:tcPr>
          <w:p w:rsidR="00EA2789" w:rsidRPr="000C2E5D" w:rsidRDefault="00A46C93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170485,9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</w:rPr>
              <w:t>из них:</w:t>
            </w:r>
          </w:p>
        </w:tc>
        <w:tc>
          <w:tcPr>
            <w:tcW w:w="2721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721" w:type="dxa"/>
          </w:tcPr>
          <w:p w:rsidR="00EA2789" w:rsidRPr="000C2E5D" w:rsidRDefault="008A2EEB" w:rsidP="00BF7BF1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8325,8</w:t>
            </w:r>
          </w:p>
        </w:tc>
        <w:tc>
          <w:tcPr>
            <w:tcW w:w="2551" w:type="dxa"/>
          </w:tcPr>
          <w:p w:rsidR="00EA2789" w:rsidRPr="000C2E5D" w:rsidRDefault="008A2EEB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8629,2</w:t>
            </w:r>
          </w:p>
        </w:tc>
        <w:tc>
          <w:tcPr>
            <w:tcW w:w="2268" w:type="dxa"/>
          </w:tcPr>
          <w:p w:rsidR="00EA2789" w:rsidRPr="000C2E5D" w:rsidRDefault="008A2EEB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8753,6</w:t>
            </w:r>
          </w:p>
        </w:tc>
        <w:tc>
          <w:tcPr>
            <w:tcW w:w="2552" w:type="dxa"/>
          </w:tcPr>
          <w:p w:rsidR="00EA2789" w:rsidRPr="000C2E5D" w:rsidRDefault="008A2EEB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8890,0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721" w:type="dxa"/>
          </w:tcPr>
          <w:p w:rsidR="00EA2789" w:rsidRPr="000C2E5D" w:rsidRDefault="008A2EEB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92004,0</w:t>
            </w:r>
          </w:p>
        </w:tc>
        <w:tc>
          <w:tcPr>
            <w:tcW w:w="2551" w:type="dxa"/>
          </w:tcPr>
          <w:p w:rsidR="00EA2789" w:rsidRPr="000C2E5D" w:rsidRDefault="00A46C93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273431,9</w:t>
            </w:r>
          </w:p>
        </w:tc>
        <w:tc>
          <w:tcPr>
            <w:tcW w:w="2268" w:type="dxa"/>
          </w:tcPr>
          <w:p w:rsidR="00EA2789" w:rsidRPr="000C2E5D" w:rsidRDefault="00A46C93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87170,6</w:t>
            </w:r>
          </w:p>
        </w:tc>
        <w:tc>
          <w:tcPr>
            <w:tcW w:w="2552" w:type="dxa"/>
          </w:tcPr>
          <w:p w:rsidR="00EA2789" w:rsidRPr="000C2E5D" w:rsidRDefault="00A46C93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161595,9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II</w:t>
            </w:r>
            <w:r w:rsidRPr="000C2E5D">
              <w:rPr>
                <w:b/>
                <w:sz w:val="28"/>
                <w:szCs w:val="28"/>
              </w:rPr>
              <w:t>.Расходы, всего</w:t>
            </w:r>
          </w:p>
        </w:tc>
        <w:tc>
          <w:tcPr>
            <w:tcW w:w="2721" w:type="dxa"/>
          </w:tcPr>
          <w:p w:rsidR="00EA2789" w:rsidRPr="000C2E5D" w:rsidRDefault="008A2EEB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105939,2</w:t>
            </w:r>
          </w:p>
        </w:tc>
        <w:tc>
          <w:tcPr>
            <w:tcW w:w="2551" w:type="dxa"/>
          </w:tcPr>
          <w:p w:rsidR="00EA2789" w:rsidRPr="000C2E5D" w:rsidRDefault="00A46C93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282061,1</w:t>
            </w:r>
          </w:p>
        </w:tc>
        <w:tc>
          <w:tcPr>
            <w:tcW w:w="2268" w:type="dxa"/>
          </w:tcPr>
          <w:p w:rsidR="00EA2789" w:rsidRPr="000C2E5D" w:rsidRDefault="00A46C93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95924,2</w:t>
            </w:r>
          </w:p>
        </w:tc>
        <w:tc>
          <w:tcPr>
            <w:tcW w:w="2552" w:type="dxa"/>
          </w:tcPr>
          <w:p w:rsidR="00EA2789" w:rsidRPr="000C2E5D" w:rsidRDefault="00A46C93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170485,9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III</w:t>
            </w:r>
            <w:r w:rsidRPr="000C2E5D">
              <w:rPr>
                <w:b/>
                <w:sz w:val="28"/>
                <w:szCs w:val="28"/>
              </w:rPr>
              <w:t>.Дефицит (-), профицит (+)</w:t>
            </w:r>
          </w:p>
        </w:tc>
        <w:tc>
          <w:tcPr>
            <w:tcW w:w="2721" w:type="dxa"/>
          </w:tcPr>
          <w:p w:rsidR="00EA2789" w:rsidRPr="000C2E5D" w:rsidRDefault="00801F8E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621BF2">
              <w:rPr>
                <w:b/>
                <w:sz w:val="24"/>
                <w:szCs w:val="24"/>
              </w:rPr>
              <w:t>5</w:t>
            </w:r>
            <w:r w:rsidR="008A2EEB">
              <w:rPr>
                <w:b/>
                <w:sz w:val="24"/>
                <w:szCs w:val="24"/>
              </w:rPr>
              <w:t>609,4</w:t>
            </w:r>
          </w:p>
        </w:tc>
        <w:tc>
          <w:tcPr>
            <w:tcW w:w="2551" w:type="dxa"/>
          </w:tcPr>
          <w:p w:rsidR="00EA2789" w:rsidRPr="000C2E5D" w:rsidRDefault="00A46C93" w:rsidP="00FE50BB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FE50B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268" w:type="dxa"/>
          </w:tcPr>
          <w:p w:rsidR="00EA2789" w:rsidRPr="000C2E5D" w:rsidRDefault="00621BF2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VI</w:t>
            </w:r>
            <w:r w:rsidRPr="000C2E5D">
              <w:rPr>
                <w:b/>
                <w:sz w:val="28"/>
                <w:szCs w:val="28"/>
              </w:rPr>
              <w:t>.Источники финансирования дефицита</w:t>
            </w:r>
          </w:p>
        </w:tc>
        <w:tc>
          <w:tcPr>
            <w:tcW w:w="2721" w:type="dxa"/>
          </w:tcPr>
          <w:p w:rsidR="00EA2789" w:rsidRPr="000C2E5D" w:rsidRDefault="00EA2789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</w:tr>
    </w:tbl>
    <w:p w:rsidR="00945494" w:rsidRDefault="00945494" w:rsidP="00945494">
      <w:pPr>
        <w:jc w:val="center"/>
      </w:pPr>
    </w:p>
    <w:p w:rsidR="00F867EC" w:rsidRDefault="00F867EC" w:rsidP="0061527F">
      <w:pPr>
        <w:jc w:val="center"/>
        <w:rPr>
          <w:rFonts w:ascii="Georgia" w:hAnsi="Georgia"/>
          <w:color w:val="7030A0"/>
          <w:sz w:val="52"/>
          <w:szCs w:val="52"/>
        </w:rPr>
      </w:pPr>
    </w:p>
    <w:p w:rsidR="00BF7BF1" w:rsidRDefault="00BF7BF1" w:rsidP="0061527F">
      <w:pPr>
        <w:jc w:val="center"/>
        <w:rPr>
          <w:rFonts w:ascii="Georgia" w:hAnsi="Georgia"/>
          <w:color w:val="7030A0"/>
          <w:sz w:val="52"/>
          <w:szCs w:val="52"/>
        </w:rPr>
      </w:pPr>
    </w:p>
    <w:p w:rsidR="001268EE" w:rsidRDefault="004C7372" w:rsidP="0061527F">
      <w:pPr>
        <w:jc w:val="center"/>
        <w:rPr>
          <w:rFonts w:ascii="Georgia" w:hAnsi="Georgia"/>
          <w:color w:val="7030A0"/>
          <w:sz w:val="52"/>
          <w:szCs w:val="52"/>
        </w:rPr>
      </w:pPr>
      <w:r w:rsidRPr="00D9007A">
        <w:rPr>
          <w:rFonts w:ascii="Georgia" w:hAnsi="Georgia"/>
          <w:color w:val="7030A0"/>
          <w:sz w:val="52"/>
          <w:szCs w:val="52"/>
        </w:rPr>
        <w:lastRenderedPageBreak/>
        <w:t>Дина</w:t>
      </w:r>
      <w:r w:rsidR="00623AF7">
        <w:rPr>
          <w:rFonts w:ascii="Georgia" w:hAnsi="Georgia"/>
          <w:color w:val="7030A0"/>
          <w:sz w:val="52"/>
          <w:szCs w:val="52"/>
        </w:rPr>
        <w:t>мика доходов бюджета Горняцкого</w:t>
      </w:r>
      <w:r w:rsidRPr="00D9007A">
        <w:rPr>
          <w:rFonts w:ascii="Georgia" w:hAnsi="Georgia"/>
          <w:color w:val="7030A0"/>
          <w:sz w:val="52"/>
          <w:szCs w:val="52"/>
        </w:rPr>
        <w:t xml:space="preserve"> сельского </w:t>
      </w:r>
    </w:p>
    <w:p w:rsidR="00757D79" w:rsidRPr="00D9007A" w:rsidRDefault="004C7372" w:rsidP="0061527F">
      <w:pPr>
        <w:jc w:val="center"/>
        <w:rPr>
          <w:rFonts w:ascii="Georgia" w:hAnsi="Georgia"/>
          <w:color w:val="7030A0"/>
          <w:sz w:val="52"/>
          <w:szCs w:val="52"/>
        </w:rPr>
      </w:pPr>
      <w:r w:rsidRPr="00D9007A">
        <w:rPr>
          <w:rFonts w:ascii="Georgia" w:hAnsi="Georgia"/>
          <w:color w:val="7030A0"/>
          <w:sz w:val="52"/>
          <w:szCs w:val="52"/>
        </w:rPr>
        <w:t>поселения Белокалитвинского района</w:t>
      </w:r>
    </w:p>
    <w:p w:rsidR="004C7372" w:rsidRPr="004C7372" w:rsidRDefault="00DE0CDA" w:rsidP="0061527F">
      <w:pPr>
        <w:jc w:val="center"/>
        <w:rPr>
          <w:rFonts w:ascii="Georgia" w:hAnsi="Georgia"/>
          <w:sz w:val="52"/>
          <w:szCs w:val="52"/>
        </w:rPr>
      </w:pPr>
      <w:r>
        <w:rPr>
          <w:rFonts w:ascii="Georgia" w:hAnsi="Georgia"/>
          <w:noProof/>
          <w:sz w:val="52"/>
          <w:szCs w:val="52"/>
          <w:lang w:eastAsia="ru-RU"/>
        </w:rPr>
        <w:drawing>
          <wp:inline distT="0" distB="0" distL="0" distR="0" wp14:anchorId="01FE64FD" wp14:editId="1774E6AD">
            <wp:extent cx="6572250" cy="4219575"/>
            <wp:effectExtent l="57150" t="38100" r="38100" b="476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57D79" w:rsidRPr="004D4751" w:rsidRDefault="004D4751" w:rsidP="004D4751">
      <w:pPr>
        <w:pStyle w:val="a6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Областной бюджет</w:t>
      </w:r>
    </w:p>
    <w:p w:rsidR="00757D79" w:rsidRPr="004D4751" w:rsidRDefault="004D4751" w:rsidP="004D4751">
      <w:pPr>
        <w:pStyle w:val="a6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Местный бюджет</w:t>
      </w:r>
    </w:p>
    <w:p w:rsidR="000C2E5D" w:rsidRDefault="000C2E5D" w:rsidP="0061527F">
      <w:pPr>
        <w:jc w:val="center"/>
        <w:rPr>
          <w:rFonts w:ascii="Times New Roman" w:hAnsi="Times New Roman" w:cs="Times New Roman"/>
          <w:color w:val="0066FF"/>
          <w:sz w:val="48"/>
          <w:szCs w:val="48"/>
        </w:rPr>
      </w:pPr>
    </w:p>
    <w:p w:rsidR="005D1ACD" w:rsidRPr="00F867EC" w:rsidRDefault="00B436E9" w:rsidP="0061527F">
      <w:pPr>
        <w:jc w:val="center"/>
        <w:rPr>
          <w:rFonts w:ascii="Times New Roman" w:hAnsi="Times New Roman" w:cs="Times New Roman"/>
          <w:color w:val="0066FF"/>
          <w:sz w:val="48"/>
          <w:szCs w:val="48"/>
        </w:rPr>
      </w:pPr>
      <w:r w:rsidRPr="00F867EC">
        <w:rPr>
          <w:rFonts w:ascii="Times New Roman" w:hAnsi="Times New Roman" w:cs="Times New Roman"/>
          <w:color w:val="0066FF"/>
          <w:sz w:val="48"/>
          <w:szCs w:val="48"/>
        </w:rPr>
        <w:t>Структура собственных</w:t>
      </w:r>
      <w:r w:rsidR="00623AF7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доходов бюджета Горняцкого</w:t>
      </w:r>
      <w:r w:rsidR="006F0BF0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сельского поселения</w:t>
      </w:r>
      <w:r w:rsidR="00BB2A64">
        <w:rPr>
          <w:rFonts w:ascii="Times New Roman" w:hAnsi="Times New Roman" w:cs="Times New Roman"/>
          <w:color w:val="0066FF"/>
          <w:sz w:val="48"/>
          <w:szCs w:val="48"/>
        </w:rPr>
        <w:t xml:space="preserve"> </w:t>
      </w:r>
      <w:proofErr w:type="spellStart"/>
      <w:r w:rsidR="00BB2A64">
        <w:rPr>
          <w:rFonts w:ascii="Times New Roman" w:hAnsi="Times New Roman" w:cs="Times New Roman"/>
          <w:color w:val="0066FF"/>
          <w:sz w:val="48"/>
          <w:szCs w:val="48"/>
        </w:rPr>
        <w:t>Белокалитвинского</w:t>
      </w:r>
      <w:proofErr w:type="spellEnd"/>
      <w:r w:rsidR="00BB2A64">
        <w:rPr>
          <w:rFonts w:ascii="Times New Roman" w:hAnsi="Times New Roman" w:cs="Times New Roman"/>
          <w:color w:val="0066FF"/>
          <w:sz w:val="48"/>
          <w:szCs w:val="48"/>
        </w:rPr>
        <w:t xml:space="preserve"> района в 2022</w:t>
      </w:r>
      <w:r w:rsidR="006F0BF0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году</w:t>
      </w:r>
      <w:r w:rsidR="005D1ACD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 </w:t>
      </w:r>
    </w:p>
    <w:p w:rsidR="00757D79" w:rsidRDefault="00BB2A64" w:rsidP="00D9007A">
      <w:pPr>
        <w:jc w:val="center"/>
        <w:rPr>
          <w:sz w:val="72"/>
          <w:szCs w:val="72"/>
        </w:rPr>
      </w:pPr>
      <w:r>
        <w:rPr>
          <w:rFonts w:ascii="Times New Roman" w:hAnsi="Times New Roman" w:cs="Times New Roman"/>
          <w:color w:val="0066FF"/>
          <w:sz w:val="48"/>
          <w:szCs w:val="48"/>
        </w:rPr>
        <w:t>8 629,2</w:t>
      </w:r>
      <w:r w:rsidR="005D1ACD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тыс.</w:t>
      </w:r>
      <w:r w:rsidR="00192A27">
        <w:rPr>
          <w:rFonts w:ascii="Times New Roman" w:hAnsi="Times New Roman" w:cs="Times New Roman"/>
          <w:color w:val="0066FF"/>
          <w:sz w:val="48"/>
          <w:szCs w:val="48"/>
        </w:rPr>
        <w:t xml:space="preserve"> </w:t>
      </w:r>
      <w:r w:rsidR="005D1ACD" w:rsidRPr="00F867EC">
        <w:rPr>
          <w:rFonts w:ascii="Times New Roman" w:hAnsi="Times New Roman" w:cs="Times New Roman"/>
          <w:color w:val="0066FF"/>
          <w:sz w:val="48"/>
          <w:szCs w:val="48"/>
        </w:rPr>
        <w:t>руб.</w:t>
      </w:r>
      <w:r w:rsidR="006F0BF0">
        <w:rPr>
          <w:noProof/>
          <w:sz w:val="72"/>
          <w:szCs w:val="72"/>
          <w:lang w:eastAsia="ru-RU"/>
        </w:rPr>
        <w:drawing>
          <wp:inline distT="0" distB="0" distL="0" distR="0">
            <wp:extent cx="8591550" cy="4343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45494" w:rsidRPr="00AF28FC" w:rsidRDefault="00945494" w:rsidP="0061527F">
      <w:pPr>
        <w:jc w:val="center"/>
        <w:rPr>
          <w:rFonts w:ascii="Times New Roman" w:hAnsi="Times New Roman" w:cs="Times New Roman"/>
          <w:color w:val="7030A0"/>
          <w:sz w:val="56"/>
          <w:szCs w:val="56"/>
        </w:rPr>
      </w:pPr>
      <w:r w:rsidRPr="00AF28FC">
        <w:rPr>
          <w:rFonts w:ascii="Times New Roman" w:hAnsi="Times New Roman" w:cs="Times New Roman"/>
          <w:color w:val="7030A0"/>
          <w:sz w:val="56"/>
          <w:szCs w:val="56"/>
        </w:rPr>
        <w:lastRenderedPageBreak/>
        <w:t>Динамика поступления налога на доходы физических лиц в части местного бюджета</w:t>
      </w:r>
      <w:r w:rsidR="00481EB7" w:rsidRPr="00AF28FC">
        <w:rPr>
          <w:rFonts w:ascii="Times New Roman" w:hAnsi="Times New Roman" w:cs="Times New Roman"/>
          <w:color w:val="7030A0"/>
          <w:sz w:val="56"/>
          <w:szCs w:val="56"/>
        </w:rPr>
        <w:t xml:space="preserve"> (тыс.</w:t>
      </w:r>
      <w:r w:rsidR="00C86E32">
        <w:rPr>
          <w:rFonts w:ascii="Times New Roman" w:hAnsi="Times New Roman" w:cs="Times New Roman"/>
          <w:color w:val="7030A0"/>
          <w:sz w:val="56"/>
          <w:szCs w:val="56"/>
        </w:rPr>
        <w:t xml:space="preserve"> </w:t>
      </w:r>
      <w:r w:rsidR="00481EB7" w:rsidRPr="00AF28FC">
        <w:rPr>
          <w:rFonts w:ascii="Times New Roman" w:hAnsi="Times New Roman" w:cs="Times New Roman"/>
          <w:color w:val="7030A0"/>
          <w:sz w:val="56"/>
          <w:szCs w:val="56"/>
        </w:rPr>
        <w:t>руб.)</w:t>
      </w:r>
    </w:p>
    <w:p w:rsidR="00945494" w:rsidRDefault="00945494" w:rsidP="0061527F">
      <w:pPr>
        <w:jc w:val="center"/>
      </w:pPr>
    </w:p>
    <w:p w:rsidR="00945494" w:rsidRDefault="00945494" w:rsidP="001A5C07">
      <w:r>
        <w:rPr>
          <w:noProof/>
          <w:lang w:eastAsia="ru-RU"/>
        </w:rPr>
        <w:drawing>
          <wp:inline distT="0" distB="0" distL="0" distR="0">
            <wp:extent cx="1810970" cy="3009900"/>
            <wp:effectExtent l="114300" t="76200" r="74980" b="76200"/>
            <wp:docPr id="16" name="Рисунок 15" descr="1349840392_dohody-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49840392_dohody-1[1]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970" cy="3009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1A5C07">
        <w:t xml:space="preserve">                         </w:t>
      </w:r>
      <w:r w:rsidR="001A5C07">
        <w:rPr>
          <w:noProof/>
          <w:lang w:eastAsia="ru-RU"/>
        </w:rPr>
        <w:drawing>
          <wp:inline distT="0" distB="0" distL="0" distR="0">
            <wp:extent cx="6324600" cy="3876675"/>
            <wp:effectExtent l="57150" t="0" r="38100" b="2857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45494" w:rsidRDefault="00945494" w:rsidP="0061527F">
      <w:pPr>
        <w:jc w:val="center"/>
      </w:pPr>
    </w:p>
    <w:p w:rsidR="00945494" w:rsidRDefault="00945494" w:rsidP="0061527F">
      <w:pPr>
        <w:jc w:val="center"/>
      </w:pPr>
    </w:p>
    <w:p w:rsidR="00945494" w:rsidRPr="005F7D75" w:rsidRDefault="00E15AAE" w:rsidP="0061527F">
      <w:pPr>
        <w:jc w:val="center"/>
        <w:rPr>
          <w:rFonts w:ascii="Georgia" w:hAnsi="Georgia"/>
          <w:color w:val="0000CC"/>
          <w:sz w:val="52"/>
          <w:szCs w:val="52"/>
        </w:rPr>
      </w:pPr>
      <w:r w:rsidRPr="005F7D75">
        <w:rPr>
          <w:rFonts w:ascii="Georgia" w:hAnsi="Georgia"/>
          <w:color w:val="0000CC"/>
          <w:sz w:val="52"/>
          <w:szCs w:val="52"/>
        </w:rPr>
        <w:lastRenderedPageBreak/>
        <w:t>Безвозмездные поступления в бюджет</w:t>
      </w:r>
      <w:r w:rsidR="00847E1A">
        <w:rPr>
          <w:rFonts w:ascii="Georgia" w:hAnsi="Georgia"/>
          <w:color w:val="0000CC"/>
          <w:sz w:val="52"/>
          <w:szCs w:val="52"/>
        </w:rPr>
        <w:t xml:space="preserve"> Горняцкого</w:t>
      </w:r>
      <w:r w:rsidRPr="005F7D75">
        <w:rPr>
          <w:rFonts w:ascii="Georgia" w:hAnsi="Georgia"/>
          <w:color w:val="0000CC"/>
          <w:sz w:val="52"/>
          <w:szCs w:val="52"/>
        </w:rPr>
        <w:t xml:space="preserve"> сельского поселения Белокалитвинского района </w:t>
      </w:r>
    </w:p>
    <w:p w:rsidR="005540B6" w:rsidRPr="00481EB7" w:rsidRDefault="00481EB7" w:rsidP="0061527F">
      <w:pPr>
        <w:jc w:val="center"/>
        <w:rPr>
          <w:rFonts w:ascii="Georgia" w:hAnsi="Georgia"/>
          <w:color w:val="1F497D" w:themeColor="text2"/>
          <w:sz w:val="52"/>
          <w:szCs w:val="52"/>
        </w:rPr>
      </w:pPr>
      <w:r w:rsidRPr="00481EB7">
        <w:rPr>
          <w:rFonts w:ascii="Georgia" w:hAnsi="Georgia"/>
          <w:color w:val="1F497D" w:themeColor="text2"/>
          <w:sz w:val="52"/>
          <w:szCs w:val="52"/>
        </w:rPr>
        <w:t>тыс.</w:t>
      </w:r>
      <w:r w:rsidR="00CA5525">
        <w:rPr>
          <w:rFonts w:ascii="Georgia" w:hAnsi="Georgia"/>
          <w:color w:val="1F497D" w:themeColor="text2"/>
          <w:sz w:val="52"/>
          <w:szCs w:val="52"/>
        </w:rPr>
        <w:t xml:space="preserve"> </w:t>
      </w:r>
      <w:r w:rsidRPr="00481EB7">
        <w:rPr>
          <w:rFonts w:ascii="Georgia" w:hAnsi="Georgia"/>
          <w:color w:val="1F497D" w:themeColor="text2"/>
          <w:sz w:val="52"/>
          <w:szCs w:val="52"/>
        </w:rPr>
        <w:t>руб.</w:t>
      </w:r>
    </w:p>
    <w:p w:rsidR="00945494" w:rsidRDefault="00E15AAE" w:rsidP="005F7D75">
      <w:r>
        <w:rPr>
          <w:noProof/>
          <w:lang w:eastAsia="ru-RU"/>
        </w:rPr>
        <w:drawing>
          <wp:inline distT="0" distB="0" distL="0" distR="0">
            <wp:extent cx="6010275" cy="382905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5540B6">
        <w:rPr>
          <w:noProof/>
          <w:lang w:eastAsia="ru-RU"/>
        </w:rPr>
        <w:drawing>
          <wp:inline distT="0" distB="0" distL="0" distR="0">
            <wp:extent cx="2705100" cy="3208856"/>
            <wp:effectExtent l="133350" t="76200" r="114300" b="86794"/>
            <wp:docPr id="21" name="Рисунок 20" descr="zaymi-i-kredi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ymi-i-kredit[1]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20885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D1066" w:rsidRDefault="009D1066" w:rsidP="0061527F">
      <w:pPr>
        <w:jc w:val="center"/>
        <w:rPr>
          <w:rFonts w:ascii="Times New Roman" w:hAnsi="Times New Roman" w:cs="Times New Roman"/>
          <w:color w:val="0D0D0D" w:themeColor="text1" w:themeTint="F2"/>
          <w:sz w:val="52"/>
          <w:szCs w:val="52"/>
        </w:rPr>
      </w:pPr>
    </w:p>
    <w:p w:rsidR="00AF28FC" w:rsidRDefault="005F7D75" w:rsidP="0061527F">
      <w:pPr>
        <w:jc w:val="center"/>
        <w:rPr>
          <w:rFonts w:ascii="Times New Roman" w:hAnsi="Times New Roman" w:cs="Times New Roman"/>
          <w:color w:val="0D0D0D" w:themeColor="text1" w:themeTint="F2"/>
          <w:sz w:val="52"/>
          <w:szCs w:val="52"/>
        </w:rPr>
      </w:pPr>
      <w:r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lastRenderedPageBreak/>
        <w:t xml:space="preserve">Динамика расходов </w:t>
      </w:r>
      <w:r w:rsidR="00847E1A"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>бюджета Горняцкого</w:t>
      </w:r>
      <w:r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 xml:space="preserve"> сельского поселения Белокалитвинского района </w:t>
      </w:r>
    </w:p>
    <w:p w:rsidR="00945494" w:rsidRPr="00AF28FC" w:rsidRDefault="00B94C55" w:rsidP="0061527F">
      <w:pPr>
        <w:jc w:val="center"/>
        <w:rPr>
          <w:rFonts w:ascii="Times New Roman" w:hAnsi="Times New Roman" w:cs="Times New Roman"/>
          <w:color w:val="0D0D0D" w:themeColor="text1" w:themeTint="F2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0BB47264" wp14:editId="24950E44">
            <wp:extent cx="8343900" cy="3819525"/>
            <wp:effectExtent l="57150" t="38100" r="38100" b="4762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481EB7"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 xml:space="preserve">       тыс.</w:t>
      </w:r>
      <w:r w:rsidR="00F54888">
        <w:rPr>
          <w:rFonts w:ascii="Times New Roman" w:hAnsi="Times New Roman" w:cs="Times New Roman"/>
          <w:color w:val="0D0D0D" w:themeColor="text1" w:themeTint="F2"/>
          <w:sz w:val="52"/>
          <w:szCs w:val="52"/>
        </w:rPr>
        <w:t xml:space="preserve"> </w:t>
      </w:r>
      <w:r w:rsidR="00481EB7"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>руб.</w:t>
      </w:r>
    </w:p>
    <w:p w:rsidR="00945494" w:rsidRDefault="00945494" w:rsidP="000F3485">
      <w:pPr>
        <w:jc w:val="right"/>
      </w:pPr>
    </w:p>
    <w:p w:rsidR="00945494" w:rsidRDefault="00945494" w:rsidP="0061527F">
      <w:pPr>
        <w:jc w:val="center"/>
      </w:pPr>
    </w:p>
    <w:p w:rsidR="00A4627F" w:rsidRDefault="00A4627F" w:rsidP="0061527F">
      <w:pPr>
        <w:jc w:val="center"/>
      </w:pPr>
    </w:p>
    <w:p w:rsidR="00945494" w:rsidRPr="00AF28FC" w:rsidRDefault="00847E1A" w:rsidP="00BF5BF4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AF28FC">
        <w:rPr>
          <w:rFonts w:ascii="Times New Roman" w:hAnsi="Times New Roman" w:cs="Times New Roman"/>
          <w:color w:val="C00000"/>
          <w:sz w:val="40"/>
          <w:szCs w:val="40"/>
        </w:rPr>
        <w:lastRenderedPageBreak/>
        <w:t>Расходы бюджета Горняцкого</w:t>
      </w:r>
      <w:r w:rsidR="009645B8" w:rsidRPr="00AF28FC">
        <w:rPr>
          <w:rFonts w:ascii="Times New Roman" w:hAnsi="Times New Roman" w:cs="Times New Roman"/>
          <w:color w:val="C00000"/>
          <w:sz w:val="40"/>
          <w:szCs w:val="40"/>
        </w:rPr>
        <w:t xml:space="preserve"> сельского поселения</w:t>
      </w:r>
      <w:r w:rsidR="00C33A69">
        <w:rPr>
          <w:rFonts w:ascii="Times New Roman" w:hAnsi="Times New Roman" w:cs="Times New Roman"/>
          <w:color w:val="C00000"/>
          <w:sz w:val="40"/>
          <w:szCs w:val="40"/>
        </w:rPr>
        <w:t xml:space="preserve"> </w:t>
      </w:r>
      <w:proofErr w:type="spellStart"/>
      <w:r w:rsidR="00C33A69">
        <w:rPr>
          <w:rFonts w:ascii="Times New Roman" w:hAnsi="Times New Roman" w:cs="Times New Roman"/>
          <w:color w:val="C00000"/>
          <w:sz w:val="40"/>
          <w:szCs w:val="40"/>
        </w:rPr>
        <w:t>Белокалитвинского</w:t>
      </w:r>
      <w:proofErr w:type="spellEnd"/>
      <w:r w:rsidR="003C4ECF">
        <w:rPr>
          <w:rFonts w:ascii="Times New Roman" w:hAnsi="Times New Roman" w:cs="Times New Roman"/>
          <w:color w:val="C00000"/>
          <w:sz w:val="40"/>
          <w:szCs w:val="40"/>
        </w:rPr>
        <w:t xml:space="preserve"> района в 2022</w:t>
      </w:r>
      <w:r w:rsidR="009645B8" w:rsidRPr="00AF28FC">
        <w:rPr>
          <w:rFonts w:ascii="Times New Roman" w:hAnsi="Times New Roman" w:cs="Times New Roman"/>
          <w:color w:val="C00000"/>
          <w:sz w:val="40"/>
          <w:szCs w:val="40"/>
        </w:rPr>
        <w:t xml:space="preserve"> году</w:t>
      </w:r>
    </w:p>
    <w:p w:rsidR="009645B8" w:rsidRPr="00BF5BF4" w:rsidRDefault="00586912" w:rsidP="00BF5BF4">
      <w:pPr>
        <w:tabs>
          <w:tab w:val="center" w:pos="7285"/>
          <w:tab w:val="left" w:pos="8655"/>
        </w:tabs>
        <w:rPr>
          <w:sz w:val="36"/>
          <w:szCs w:val="36"/>
        </w:rPr>
      </w:pPr>
      <w:r>
        <w:rPr>
          <w:sz w:val="36"/>
          <w:szCs w:val="36"/>
        </w:rPr>
        <w:t>282 061,1</w:t>
      </w:r>
      <w:r w:rsidR="009645B8" w:rsidRPr="00BF5BF4">
        <w:rPr>
          <w:sz w:val="36"/>
          <w:szCs w:val="36"/>
        </w:rPr>
        <w:t xml:space="preserve"> тыс. рублей</w:t>
      </w:r>
      <w:r w:rsidR="009645B8" w:rsidRPr="00BF5BF4">
        <w:rPr>
          <w:sz w:val="36"/>
          <w:szCs w:val="36"/>
        </w:rPr>
        <w:tab/>
      </w:r>
    </w:p>
    <w:p w:rsidR="00945494" w:rsidRDefault="00945494" w:rsidP="0061527F">
      <w:pPr>
        <w:jc w:val="center"/>
      </w:pPr>
    </w:p>
    <w:p w:rsidR="00945494" w:rsidRDefault="009645B8" w:rsidP="0061527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543925" cy="4267200"/>
            <wp:effectExtent l="57150" t="19050" r="28575" b="3810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45494" w:rsidRPr="00355C86" w:rsidRDefault="00087B71" w:rsidP="0061527F">
      <w:pPr>
        <w:jc w:val="center"/>
        <w:rPr>
          <w:rFonts w:ascii="Georgia" w:hAnsi="Georgia"/>
          <w:color w:val="FF0000"/>
          <w:sz w:val="40"/>
          <w:szCs w:val="40"/>
        </w:rPr>
      </w:pPr>
      <w:r w:rsidRPr="00355C86">
        <w:rPr>
          <w:rFonts w:ascii="Georgia" w:hAnsi="Georgia"/>
          <w:color w:val="FF0000"/>
          <w:sz w:val="40"/>
          <w:szCs w:val="40"/>
        </w:rPr>
        <w:lastRenderedPageBreak/>
        <w:t>Динам</w:t>
      </w:r>
      <w:r w:rsidR="00847E1A">
        <w:rPr>
          <w:rFonts w:ascii="Georgia" w:hAnsi="Georgia"/>
          <w:color w:val="FF0000"/>
          <w:sz w:val="40"/>
          <w:szCs w:val="40"/>
        </w:rPr>
        <w:t>ика расходов бюджета Горняцкого</w:t>
      </w:r>
      <w:r w:rsidRPr="00355C86">
        <w:rPr>
          <w:rFonts w:ascii="Georgia" w:hAnsi="Georgia"/>
          <w:color w:val="FF0000"/>
          <w:sz w:val="40"/>
          <w:szCs w:val="40"/>
        </w:rPr>
        <w:t xml:space="preserve"> сельского поселения Белокалитвинского района</w:t>
      </w:r>
      <w:r w:rsidR="00355C86">
        <w:rPr>
          <w:rFonts w:ascii="Georgia" w:hAnsi="Georgia"/>
          <w:color w:val="FF0000"/>
          <w:sz w:val="40"/>
          <w:szCs w:val="40"/>
        </w:rPr>
        <w:t xml:space="preserve"> на культуру</w:t>
      </w:r>
    </w:p>
    <w:p w:rsidR="00945494" w:rsidRDefault="00355C86" w:rsidP="00B66E2C">
      <w:r>
        <w:rPr>
          <w:noProof/>
          <w:lang w:eastAsia="ru-RU"/>
        </w:rPr>
        <w:drawing>
          <wp:inline distT="0" distB="0" distL="0" distR="0">
            <wp:extent cx="8801100" cy="333375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45494" w:rsidRDefault="00945494" w:rsidP="0061527F">
      <w:pPr>
        <w:jc w:val="center"/>
      </w:pPr>
    </w:p>
    <w:p w:rsidR="00945494" w:rsidRDefault="00945494" w:rsidP="00B66E2C"/>
    <w:p w:rsidR="00AF28FC" w:rsidRDefault="00AF28FC" w:rsidP="0061527F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C33A69" w:rsidRDefault="00C33A69" w:rsidP="0061527F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945494" w:rsidRPr="00D835D2" w:rsidRDefault="0037184D" w:rsidP="0061527F">
      <w:pPr>
        <w:jc w:val="center"/>
        <w:rPr>
          <w:rFonts w:ascii="Georgia" w:hAnsi="Georgia"/>
          <w:color w:val="FF0000"/>
          <w:sz w:val="72"/>
          <w:szCs w:val="72"/>
        </w:rPr>
      </w:pPr>
      <w:r w:rsidRPr="00D835D2">
        <w:rPr>
          <w:rFonts w:ascii="Georgia" w:hAnsi="Georgia"/>
          <w:color w:val="FF0000"/>
          <w:sz w:val="72"/>
          <w:szCs w:val="72"/>
        </w:rPr>
        <w:lastRenderedPageBreak/>
        <w:t>Культура и кинематография</w:t>
      </w:r>
    </w:p>
    <w:p w:rsidR="00A4627F" w:rsidRDefault="00A4627F"/>
    <w:p w:rsidR="00945494" w:rsidRDefault="00BC746F" w:rsidP="0061527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001000" cy="4972050"/>
            <wp:effectExtent l="0" t="0" r="57150" b="0"/>
            <wp:docPr id="30" name="Схема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945494" w:rsidRPr="00365EF5" w:rsidRDefault="00CB393F" w:rsidP="0061527F">
      <w:pPr>
        <w:jc w:val="center"/>
        <w:rPr>
          <w:rFonts w:ascii="Georgia" w:hAnsi="Georgia"/>
          <w:color w:val="FF0000"/>
          <w:sz w:val="52"/>
          <w:szCs w:val="52"/>
        </w:rPr>
      </w:pPr>
      <w:r>
        <w:rPr>
          <w:rFonts w:ascii="Georgia" w:hAnsi="Georgia"/>
          <w:color w:val="FF0000"/>
          <w:sz w:val="52"/>
          <w:szCs w:val="52"/>
        </w:rPr>
        <w:lastRenderedPageBreak/>
        <w:t>Расходы бюджета Горняцкого</w:t>
      </w:r>
      <w:r w:rsidR="00365EF5" w:rsidRPr="00365EF5">
        <w:rPr>
          <w:rFonts w:ascii="Georgia" w:hAnsi="Georgia"/>
          <w:color w:val="FF0000"/>
          <w:sz w:val="52"/>
          <w:szCs w:val="52"/>
        </w:rPr>
        <w:t xml:space="preserve"> сельского поселения Белокалитвинского района на реали</w:t>
      </w:r>
      <w:r w:rsidR="002F3985">
        <w:rPr>
          <w:rFonts w:ascii="Georgia" w:hAnsi="Georgia"/>
          <w:color w:val="FF0000"/>
          <w:sz w:val="52"/>
          <w:szCs w:val="52"/>
        </w:rPr>
        <w:t xml:space="preserve">зацию муниципальных </w:t>
      </w:r>
      <w:r w:rsidR="00365EF5" w:rsidRPr="00365EF5">
        <w:rPr>
          <w:rFonts w:ascii="Georgia" w:hAnsi="Georgia"/>
          <w:color w:val="FF0000"/>
          <w:sz w:val="52"/>
          <w:szCs w:val="52"/>
        </w:rPr>
        <w:t xml:space="preserve"> целевых программ</w:t>
      </w:r>
    </w:p>
    <w:p w:rsidR="00005171" w:rsidRDefault="00365EF5" w:rsidP="00365EF5">
      <w:pPr>
        <w:rPr>
          <w:sz w:val="32"/>
          <w:szCs w:val="32"/>
        </w:rPr>
      </w:pPr>
      <w:r w:rsidRPr="00365EF5">
        <w:rPr>
          <w:sz w:val="32"/>
          <w:szCs w:val="32"/>
        </w:rPr>
        <w:t>Тыс. рублей</w:t>
      </w:r>
    </w:p>
    <w:p w:rsidR="00005171" w:rsidRDefault="00005171" w:rsidP="00005171">
      <w:pPr>
        <w:rPr>
          <w:sz w:val="32"/>
          <w:szCs w:val="32"/>
        </w:rPr>
      </w:pPr>
    </w:p>
    <w:p w:rsidR="00945494" w:rsidRDefault="00005171" w:rsidP="00005171">
      <w:pPr>
        <w:tabs>
          <w:tab w:val="left" w:pos="1065"/>
        </w:tabs>
      </w:pPr>
      <w:r>
        <w:rPr>
          <w:sz w:val="32"/>
          <w:szCs w:val="32"/>
        </w:rPr>
        <w:tab/>
      </w:r>
      <w:bookmarkStart w:id="0" w:name="_GoBack"/>
      <w:r w:rsidR="00CA7913">
        <w:rPr>
          <w:noProof/>
          <w:lang w:eastAsia="ru-RU"/>
        </w:rPr>
        <w:drawing>
          <wp:inline distT="0" distB="0" distL="0" distR="0" wp14:anchorId="5BE0AFBC" wp14:editId="55C299F6">
            <wp:extent cx="7324725" cy="4057650"/>
            <wp:effectExtent l="19050" t="0" r="9525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bookmarkEnd w:id="0"/>
    </w:p>
    <w:p w:rsidR="00945494" w:rsidRPr="00D94CDE" w:rsidRDefault="00D94CDE" w:rsidP="0061527F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D94CDE">
        <w:rPr>
          <w:rFonts w:ascii="Times New Roman" w:hAnsi="Times New Roman" w:cs="Times New Roman"/>
          <w:color w:val="C00000"/>
          <w:sz w:val="36"/>
          <w:szCs w:val="36"/>
        </w:rPr>
        <w:lastRenderedPageBreak/>
        <w:t>Объем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межбюджетных трансфертов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,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перечисляемых из местного бюджета бюджету Белокалитвинского района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на финансирование расходов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,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связанных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с передачей </w:t>
      </w:r>
      <w:proofErr w:type="gramStart"/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>осуществления части полномочий органов мес</w:t>
      </w:r>
      <w:r w:rsidRPr="00D94CDE">
        <w:rPr>
          <w:rFonts w:ascii="Times New Roman" w:hAnsi="Times New Roman" w:cs="Times New Roman"/>
          <w:color w:val="C00000"/>
          <w:sz w:val="36"/>
          <w:szCs w:val="36"/>
        </w:rPr>
        <w:t>тного самоуправления Горняцкого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сельского поселения</w:t>
      </w:r>
      <w:proofErr w:type="gramEnd"/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органам местного самоуправления Белокалитвинского района  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</w:p>
    <w:p w:rsidR="00945494" w:rsidRDefault="00945494" w:rsidP="0061527F">
      <w:pPr>
        <w:jc w:val="center"/>
      </w:pP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10456"/>
        <w:gridCol w:w="1134"/>
        <w:gridCol w:w="1134"/>
        <w:gridCol w:w="1134"/>
        <w:gridCol w:w="1134"/>
      </w:tblGrid>
      <w:tr w:rsidR="00641EE9" w:rsidRPr="00641EE9" w:rsidTr="0014432D">
        <w:tc>
          <w:tcPr>
            <w:tcW w:w="10456" w:type="dxa"/>
            <w:shd w:val="clear" w:color="auto" w:fill="C2D69B" w:themeFill="accent3" w:themeFillTint="99"/>
          </w:tcPr>
          <w:p w:rsidR="00E40DA7" w:rsidRPr="00C706DD" w:rsidRDefault="00E40DA7" w:rsidP="00641EE9">
            <w:pPr>
              <w:jc w:val="center"/>
              <w:rPr>
                <w:color w:val="1E04BC"/>
                <w:sz w:val="28"/>
                <w:szCs w:val="28"/>
              </w:rPr>
            </w:pPr>
            <w:r w:rsidRPr="00C706DD">
              <w:rPr>
                <w:color w:val="1E04BC"/>
                <w:sz w:val="28"/>
                <w:szCs w:val="28"/>
              </w:rPr>
              <w:t>Наименование передоваемого полномочия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41EE9" w:rsidRPr="00C706DD" w:rsidRDefault="001331B9" w:rsidP="0061527F">
            <w:pPr>
              <w:jc w:val="center"/>
              <w:rPr>
                <w:color w:val="1E04BC"/>
                <w:sz w:val="28"/>
                <w:szCs w:val="28"/>
              </w:rPr>
            </w:pPr>
            <w:r>
              <w:rPr>
                <w:color w:val="1E04BC"/>
                <w:sz w:val="28"/>
                <w:szCs w:val="28"/>
              </w:rPr>
              <w:t>2021</w:t>
            </w:r>
          </w:p>
          <w:p w:rsidR="00E40DA7" w:rsidRPr="00C706DD" w:rsidRDefault="00E40DA7" w:rsidP="0061527F">
            <w:pPr>
              <w:jc w:val="center"/>
              <w:rPr>
                <w:color w:val="1E04BC"/>
                <w:sz w:val="28"/>
                <w:szCs w:val="28"/>
              </w:rPr>
            </w:pPr>
            <w:r w:rsidRPr="00C706DD">
              <w:rPr>
                <w:color w:val="1E04BC"/>
                <w:sz w:val="28"/>
                <w:szCs w:val="28"/>
              </w:rPr>
              <w:t>год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E40DA7" w:rsidRPr="00C706DD" w:rsidRDefault="001331B9" w:rsidP="0061527F">
            <w:pPr>
              <w:jc w:val="center"/>
              <w:rPr>
                <w:color w:val="1E04BC"/>
                <w:sz w:val="28"/>
                <w:szCs w:val="28"/>
              </w:rPr>
            </w:pPr>
            <w:r>
              <w:rPr>
                <w:color w:val="1E04BC"/>
                <w:sz w:val="28"/>
                <w:szCs w:val="28"/>
              </w:rPr>
              <w:t>2022</w:t>
            </w:r>
            <w:r w:rsidR="00E40DA7" w:rsidRPr="00C706DD">
              <w:rPr>
                <w:color w:val="1E04BC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E40DA7" w:rsidRPr="00C706DD" w:rsidRDefault="001331B9" w:rsidP="0061527F">
            <w:pPr>
              <w:jc w:val="center"/>
              <w:rPr>
                <w:color w:val="1E04BC"/>
                <w:sz w:val="28"/>
                <w:szCs w:val="28"/>
              </w:rPr>
            </w:pPr>
            <w:r>
              <w:rPr>
                <w:color w:val="1E04BC"/>
                <w:sz w:val="28"/>
                <w:szCs w:val="28"/>
              </w:rPr>
              <w:t>2023</w:t>
            </w:r>
            <w:r w:rsidR="00E40DA7" w:rsidRPr="00C706DD">
              <w:rPr>
                <w:color w:val="1E04BC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E40DA7" w:rsidRPr="00C706DD" w:rsidRDefault="001331B9" w:rsidP="0061527F">
            <w:pPr>
              <w:jc w:val="center"/>
              <w:rPr>
                <w:color w:val="1E04BC"/>
                <w:sz w:val="28"/>
                <w:szCs w:val="28"/>
              </w:rPr>
            </w:pPr>
            <w:r>
              <w:rPr>
                <w:color w:val="1E04BC"/>
                <w:sz w:val="28"/>
                <w:szCs w:val="28"/>
              </w:rPr>
              <w:t>2024</w:t>
            </w:r>
            <w:r w:rsidR="00131F39" w:rsidRPr="00C706DD">
              <w:rPr>
                <w:color w:val="1E04BC"/>
                <w:sz w:val="28"/>
                <w:szCs w:val="28"/>
              </w:rPr>
              <w:t xml:space="preserve"> </w:t>
            </w:r>
            <w:r w:rsidR="00E40DA7" w:rsidRPr="00C706DD">
              <w:rPr>
                <w:color w:val="1E04BC"/>
                <w:sz w:val="28"/>
                <w:szCs w:val="28"/>
              </w:rPr>
              <w:t>год</w:t>
            </w:r>
          </w:p>
        </w:tc>
      </w:tr>
      <w:tr w:rsidR="002F3985" w:rsidRPr="00641EE9" w:rsidTr="00641EE9">
        <w:trPr>
          <w:trHeight w:val="393"/>
        </w:trPr>
        <w:tc>
          <w:tcPr>
            <w:tcW w:w="10456" w:type="dxa"/>
            <w:shd w:val="clear" w:color="auto" w:fill="FDE9D9" w:themeFill="accent6" w:themeFillTint="33"/>
          </w:tcPr>
          <w:p w:rsidR="002F3985" w:rsidRPr="00C706DD" w:rsidRDefault="002F3985" w:rsidP="00F20E4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Расходы в области культуры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1331B9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60,9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1331B9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53,5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1331B9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38</w:t>
            </w:r>
            <w:r w:rsidR="00E10DE8">
              <w:rPr>
                <w:color w:val="0D0D0D" w:themeColor="text1" w:themeTint="F2"/>
                <w:sz w:val="28"/>
                <w:szCs w:val="28"/>
              </w:rPr>
              <w:t>,4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1331B9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38</w:t>
            </w:r>
            <w:r w:rsidR="00E10DE8">
              <w:rPr>
                <w:color w:val="0D0D0D" w:themeColor="text1" w:themeTint="F2"/>
                <w:sz w:val="28"/>
                <w:szCs w:val="28"/>
              </w:rPr>
              <w:t>,4</w:t>
            </w:r>
          </w:p>
        </w:tc>
      </w:tr>
      <w:tr w:rsidR="002F3985" w:rsidRPr="00641EE9" w:rsidTr="00641EE9">
        <w:tc>
          <w:tcPr>
            <w:tcW w:w="10456" w:type="dxa"/>
            <w:shd w:val="clear" w:color="auto" w:fill="FDE9D9" w:themeFill="accent6" w:themeFillTint="33"/>
          </w:tcPr>
          <w:p w:rsidR="002F3985" w:rsidRPr="00C706DD" w:rsidRDefault="002F3985" w:rsidP="00F20E4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Расходы по организации исполнительно-распорядительных функций в области архитектуры и градостроительства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A65C90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32,8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A65C90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56,5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A65C90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42,2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A65C90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42,2</w:t>
            </w:r>
          </w:p>
        </w:tc>
      </w:tr>
      <w:tr w:rsidR="00BD3C1A" w:rsidRPr="00641EE9" w:rsidTr="00641EE9">
        <w:trPr>
          <w:trHeight w:val="1651"/>
        </w:trPr>
        <w:tc>
          <w:tcPr>
            <w:tcW w:w="10456" w:type="dxa"/>
            <w:shd w:val="clear" w:color="auto" w:fill="FDE9D9" w:themeFill="accent6" w:themeFillTint="33"/>
          </w:tcPr>
          <w:p w:rsidR="00BD3C1A" w:rsidRPr="00C706DD" w:rsidRDefault="00BD3C1A" w:rsidP="00F20E4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Расходы по организации исполнительно-распорядительных функций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Pr="00C706DD" w:rsidRDefault="00A65C90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159,8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Pr="00C706DD" w:rsidRDefault="00A65C90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202,4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Pr="00C706DD" w:rsidRDefault="00A65C90" w:rsidP="00E10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150,9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Pr="00C706DD" w:rsidRDefault="00A65C90" w:rsidP="00E10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150,9</w:t>
            </w:r>
          </w:p>
        </w:tc>
      </w:tr>
      <w:tr w:rsidR="00CA5C20" w:rsidRPr="00641EE9" w:rsidTr="00641EE9">
        <w:tc>
          <w:tcPr>
            <w:tcW w:w="10456" w:type="dxa"/>
            <w:shd w:val="clear" w:color="auto" w:fill="FDE9D9" w:themeFill="accent6" w:themeFillTint="33"/>
          </w:tcPr>
          <w:p w:rsidR="00CA5C20" w:rsidRPr="00C706DD" w:rsidRDefault="00CA5C20" w:rsidP="00F20E4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sz w:val="28"/>
                <w:szCs w:val="28"/>
              </w:rPr>
              <w:t>Расходов, связанных с передачей переданных полномочий органов местного самоуправления Горняцкого сельского поселения органам местного самоуправления Белокалитвинского района по осуществлению внешнего муниципального финансового контроля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Pr="00C706DD" w:rsidRDefault="001331B9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51,5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Pr="00C706DD" w:rsidRDefault="00A65C90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63,2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Pr="00C706DD" w:rsidRDefault="00A65C90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45,5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Pr="00C706DD" w:rsidRDefault="00A65C90" w:rsidP="00BD3C1A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45,5</w:t>
            </w:r>
          </w:p>
        </w:tc>
      </w:tr>
      <w:tr w:rsidR="00C706DD" w:rsidRPr="00641EE9" w:rsidTr="00641EE9">
        <w:tc>
          <w:tcPr>
            <w:tcW w:w="10456" w:type="dxa"/>
            <w:shd w:val="clear" w:color="auto" w:fill="FDE9D9" w:themeFill="accent6" w:themeFillTint="33"/>
          </w:tcPr>
          <w:p w:rsidR="00C706DD" w:rsidRPr="00C706DD" w:rsidRDefault="00C706DD" w:rsidP="004824EB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sz w:val="28"/>
                <w:szCs w:val="28"/>
              </w:rPr>
              <w:t xml:space="preserve">Расходов, связанных с передачей переданных полномочий органов местного самоуправления Горняцкого сельского поселения органам местного самоуправления </w:t>
            </w:r>
            <w:proofErr w:type="spellStart"/>
            <w:r w:rsidRPr="00C706DD">
              <w:rPr>
                <w:sz w:val="28"/>
                <w:szCs w:val="28"/>
              </w:rPr>
              <w:t>Белокалитвинского</w:t>
            </w:r>
            <w:proofErr w:type="spellEnd"/>
            <w:r w:rsidRPr="00C706DD">
              <w:rPr>
                <w:sz w:val="28"/>
                <w:szCs w:val="28"/>
              </w:rPr>
              <w:t xml:space="preserve"> района по осуществлению внутреннего муниципального финансового контроля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A65C90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37,9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A65C90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52,7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A65C90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39,3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A65C90" w:rsidP="00BD3C1A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39,3</w:t>
            </w:r>
          </w:p>
        </w:tc>
      </w:tr>
      <w:tr w:rsidR="00C706DD" w:rsidRPr="00641EE9" w:rsidTr="00641EE9">
        <w:trPr>
          <w:trHeight w:val="703"/>
        </w:trPr>
        <w:tc>
          <w:tcPr>
            <w:tcW w:w="10456" w:type="dxa"/>
            <w:shd w:val="clear" w:color="auto" w:fill="FDE9D9" w:themeFill="accent6" w:themeFillTint="33"/>
          </w:tcPr>
          <w:p w:rsidR="00C706DD" w:rsidRPr="00C706DD" w:rsidRDefault="00C706DD" w:rsidP="00F20E4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A65C90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342,9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1331B9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4</w:t>
            </w:r>
            <w:r w:rsidR="00E10DE8">
              <w:rPr>
                <w:color w:val="0D0D0D" w:themeColor="text1" w:themeTint="F2"/>
                <w:sz w:val="28"/>
                <w:szCs w:val="28"/>
              </w:rPr>
              <w:t>2</w:t>
            </w:r>
            <w:r>
              <w:rPr>
                <w:color w:val="0D0D0D" w:themeColor="text1" w:themeTint="F2"/>
                <w:sz w:val="28"/>
                <w:szCs w:val="28"/>
              </w:rPr>
              <w:t>8,3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A65C90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316,3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A65C90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316,3</w:t>
            </w:r>
          </w:p>
        </w:tc>
      </w:tr>
    </w:tbl>
    <w:p w:rsidR="00945494" w:rsidRDefault="00945494" w:rsidP="008C6A0B">
      <w:pPr>
        <w:jc w:val="center"/>
      </w:pPr>
    </w:p>
    <w:sectPr w:rsidR="00945494" w:rsidSect="00746CAF">
      <w:pgSz w:w="16838" w:h="11906" w:orient="landscape"/>
      <w:pgMar w:top="993" w:right="1134" w:bottom="850" w:left="1134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236" w:rsidRDefault="002E5236" w:rsidP="001268EE">
      <w:pPr>
        <w:spacing w:after="0" w:line="240" w:lineRule="auto"/>
      </w:pPr>
      <w:r>
        <w:separator/>
      </w:r>
    </w:p>
  </w:endnote>
  <w:endnote w:type="continuationSeparator" w:id="0">
    <w:p w:rsidR="002E5236" w:rsidRDefault="002E5236" w:rsidP="00126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236" w:rsidRDefault="002E5236" w:rsidP="001268EE">
      <w:pPr>
        <w:spacing w:after="0" w:line="240" w:lineRule="auto"/>
      </w:pPr>
      <w:r>
        <w:separator/>
      </w:r>
    </w:p>
  </w:footnote>
  <w:footnote w:type="continuationSeparator" w:id="0">
    <w:p w:rsidR="002E5236" w:rsidRDefault="002E5236" w:rsidP="00126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50E9D"/>
    <w:multiLevelType w:val="hybridMultilevel"/>
    <w:tmpl w:val="3AA43070"/>
    <w:lvl w:ilvl="0" w:tplc="9C34D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 w:themeColor="accent3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04A0E"/>
    <w:multiLevelType w:val="hybridMultilevel"/>
    <w:tmpl w:val="74569280"/>
    <w:lvl w:ilvl="0" w:tplc="C4101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05ED"/>
    <w:rsid w:val="00005171"/>
    <w:rsid w:val="00011186"/>
    <w:rsid w:val="00027171"/>
    <w:rsid w:val="00051B2E"/>
    <w:rsid w:val="000657A3"/>
    <w:rsid w:val="000803E5"/>
    <w:rsid w:val="0008211F"/>
    <w:rsid w:val="00087B71"/>
    <w:rsid w:val="000B0125"/>
    <w:rsid w:val="000B513B"/>
    <w:rsid w:val="000C2E5D"/>
    <w:rsid w:val="000C6CEF"/>
    <w:rsid w:val="000D1700"/>
    <w:rsid w:val="000F03B5"/>
    <w:rsid w:val="000F2472"/>
    <w:rsid w:val="000F3485"/>
    <w:rsid w:val="0011595C"/>
    <w:rsid w:val="001164E9"/>
    <w:rsid w:val="00122769"/>
    <w:rsid w:val="001268EE"/>
    <w:rsid w:val="00131F39"/>
    <w:rsid w:val="001331B9"/>
    <w:rsid w:val="0014432D"/>
    <w:rsid w:val="00151437"/>
    <w:rsid w:val="001704A1"/>
    <w:rsid w:val="00170DC4"/>
    <w:rsid w:val="00172445"/>
    <w:rsid w:val="00173E43"/>
    <w:rsid w:val="001903F8"/>
    <w:rsid w:val="00192A27"/>
    <w:rsid w:val="00194210"/>
    <w:rsid w:val="0019509C"/>
    <w:rsid w:val="001956E1"/>
    <w:rsid w:val="001A2237"/>
    <w:rsid w:val="001A3695"/>
    <w:rsid w:val="001A5C07"/>
    <w:rsid w:val="001A7E0E"/>
    <w:rsid w:val="001B24E7"/>
    <w:rsid w:val="001D2002"/>
    <w:rsid w:val="001D3720"/>
    <w:rsid w:val="001E3645"/>
    <w:rsid w:val="00200ACD"/>
    <w:rsid w:val="00205101"/>
    <w:rsid w:val="002119C3"/>
    <w:rsid w:val="002122A0"/>
    <w:rsid w:val="00224104"/>
    <w:rsid w:val="00237370"/>
    <w:rsid w:val="00252601"/>
    <w:rsid w:val="00254EDD"/>
    <w:rsid w:val="00265A03"/>
    <w:rsid w:val="002705ED"/>
    <w:rsid w:val="00276ECE"/>
    <w:rsid w:val="002800E8"/>
    <w:rsid w:val="002926F7"/>
    <w:rsid w:val="00294258"/>
    <w:rsid w:val="002A78CD"/>
    <w:rsid w:val="002B5571"/>
    <w:rsid w:val="002C37F5"/>
    <w:rsid w:val="002C4B50"/>
    <w:rsid w:val="002D4C13"/>
    <w:rsid w:val="002E32CE"/>
    <w:rsid w:val="002E3448"/>
    <w:rsid w:val="002E489B"/>
    <w:rsid w:val="002E5092"/>
    <w:rsid w:val="002E5236"/>
    <w:rsid w:val="002F3985"/>
    <w:rsid w:val="00302EF6"/>
    <w:rsid w:val="00310830"/>
    <w:rsid w:val="00322FE3"/>
    <w:rsid w:val="00334986"/>
    <w:rsid w:val="00335AC9"/>
    <w:rsid w:val="003372EE"/>
    <w:rsid w:val="00342828"/>
    <w:rsid w:val="00355C86"/>
    <w:rsid w:val="00355D7D"/>
    <w:rsid w:val="00357979"/>
    <w:rsid w:val="00360284"/>
    <w:rsid w:val="003652E6"/>
    <w:rsid w:val="00365EF5"/>
    <w:rsid w:val="0037184D"/>
    <w:rsid w:val="00375ADA"/>
    <w:rsid w:val="003C127B"/>
    <w:rsid w:val="003C3478"/>
    <w:rsid w:val="003C4ECF"/>
    <w:rsid w:val="003D339B"/>
    <w:rsid w:val="003E08E3"/>
    <w:rsid w:val="003E6725"/>
    <w:rsid w:val="003F4DAF"/>
    <w:rsid w:val="004015EB"/>
    <w:rsid w:val="00406D7E"/>
    <w:rsid w:val="00416E2C"/>
    <w:rsid w:val="004557D7"/>
    <w:rsid w:val="00472F86"/>
    <w:rsid w:val="00481EB7"/>
    <w:rsid w:val="00482E8C"/>
    <w:rsid w:val="00484381"/>
    <w:rsid w:val="00487C79"/>
    <w:rsid w:val="004A0FB0"/>
    <w:rsid w:val="004A7D49"/>
    <w:rsid w:val="004C7372"/>
    <w:rsid w:val="004C79EB"/>
    <w:rsid w:val="004D2943"/>
    <w:rsid w:val="004D4751"/>
    <w:rsid w:val="004F735A"/>
    <w:rsid w:val="00523B20"/>
    <w:rsid w:val="005251D3"/>
    <w:rsid w:val="005540B6"/>
    <w:rsid w:val="005665A0"/>
    <w:rsid w:val="00567611"/>
    <w:rsid w:val="0058635E"/>
    <w:rsid w:val="005864C5"/>
    <w:rsid w:val="00586912"/>
    <w:rsid w:val="0059468E"/>
    <w:rsid w:val="00596FDA"/>
    <w:rsid w:val="005A5B16"/>
    <w:rsid w:val="005A5B9C"/>
    <w:rsid w:val="005B5F18"/>
    <w:rsid w:val="005C05C3"/>
    <w:rsid w:val="005D1AA9"/>
    <w:rsid w:val="005D1ACD"/>
    <w:rsid w:val="005D263E"/>
    <w:rsid w:val="005F1169"/>
    <w:rsid w:val="005F26F7"/>
    <w:rsid w:val="005F7D75"/>
    <w:rsid w:val="00605624"/>
    <w:rsid w:val="00610EC6"/>
    <w:rsid w:val="0061394E"/>
    <w:rsid w:val="006145AD"/>
    <w:rsid w:val="0061527F"/>
    <w:rsid w:val="00615F96"/>
    <w:rsid w:val="00621BF2"/>
    <w:rsid w:val="00623AF7"/>
    <w:rsid w:val="00641063"/>
    <w:rsid w:val="00641EE9"/>
    <w:rsid w:val="00645902"/>
    <w:rsid w:val="006734CE"/>
    <w:rsid w:val="00674664"/>
    <w:rsid w:val="006771B0"/>
    <w:rsid w:val="00693B4F"/>
    <w:rsid w:val="006A082E"/>
    <w:rsid w:val="006C1CB4"/>
    <w:rsid w:val="006F0BF0"/>
    <w:rsid w:val="006F2E37"/>
    <w:rsid w:val="006F5882"/>
    <w:rsid w:val="006F7322"/>
    <w:rsid w:val="00701AC8"/>
    <w:rsid w:val="00703A7C"/>
    <w:rsid w:val="00706178"/>
    <w:rsid w:val="00706C8F"/>
    <w:rsid w:val="00715E0F"/>
    <w:rsid w:val="00730478"/>
    <w:rsid w:val="0073533F"/>
    <w:rsid w:val="007422C1"/>
    <w:rsid w:val="00746CAF"/>
    <w:rsid w:val="007532C4"/>
    <w:rsid w:val="00757D79"/>
    <w:rsid w:val="00793156"/>
    <w:rsid w:val="007974E4"/>
    <w:rsid w:val="007B0B38"/>
    <w:rsid w:val="007B5392"/>
    <w:rsid w:val="007C51FD"/>
    <w:rsid w:val="007D13B6"/>
    <w:rsid w:val="007E1040"/>
    <w:rsid w:val="007E3850"/>
    <w:rsid w:val="007E6EA2"/>
    <w:rsid w:val="007F1CB5"/>
    <w:rsid w:val="007F3E82"/>
    <w:rsid w:val="007F7222"/>
    <w:rsid w:val="00800740"/>
    <w:rsid w:val="00801F8E"/>
    <w:rsid w:val="00811E9B"/>
    <w:rsid w:val="0082291F"/>
    <w:rsid w:val="008302E1"/>
    <w:rsid w:val="008423D1"/>
    <w:rsid w:val="0084509C"/>
    <w:rsid w:val="00847E1A"/>
    <w:rsid w:val="008842C3"/>
    <w:rsid w:val="008A2EEB"/>
    <w:rsid w:val="008A7CF6"/>
    <w:rsid w:val="008C002D"/>
    <w:rsid w:val="008C6A0B"/>
    <w:rsid w:val="008F16F6"/>
    <w:rsid w:val="008F3C80"/>
    <w:rsid w:val="008F7A89"/>
    <w:rsid w:val="009134AD"/>
    <w:rsid w:val="009225D6"/>
    <w:rsid w:val="00937267"/>
    <w:rsid w:val="00942888"/>
    <w:rsid w:val="00945494"/>
    <w:rsid w:val="009503FD"/>
    <w:rsid w:val="009506ED"/>
    <w:rsid w:val="00956459"/>
    <w:rsid w:val="00962CF3"/>
    <w:rsid w:val="009645B8"/>
    <w:rsid w:val="00967B9C"/>
    <w:rsid w:val="00982FC1"/>
    <w:rsid w:val="009A05B6"/>
    <w:rsid w:val="009B6D8C"/>
    <w:rsid w:val="009C0E8D"/>
    <w:rsid w:val="009D1066"/>
    <w:rsid w:val="009D4561"/>
    <w:rsid w:val="009E6C3F"/>
    <w:rsid w:val="009E6E09"/>
    <w:rsid w:val="009F4EF2"/>
    <w:rsid w:val="009F62E3"/>
    <w:rsid w:val="00A00A0E"/>
    <w:rsid w:val="00A06194"/>
    <w:rsid w:val="00A065D8"/>
    <w:rsid w:val="00A073F3"/>
    <w:rsid w:val="00A17C3C"/>
    <w:rsid w:val="00A22E36"/>
    <w:rsid w:val="00A4627F"/>
    <w:rsid w:val="00A469F1"/>
    <w:rsid w:val="00A46C93"/>
    <w:rsid w:val="00A524AB"/>
    <w:rsid w:val="00A65C90"/>
    <w:rsid w:val="00A72F9B"/>
    <w:rsid w:val="00A85829"/>
    <w:rsid w:val="00AA59C9"/>
    <w:rsid w:val="00AA6167"/>
    <w:rsid w:val="00AC5963"/>
    <w:rsid w:val="00AD0048"/>
    <w:rsid w:val="00AE01ED"/>
    <w:rsid w:val="00AE39A6"/>
    <w:rsid w:val="00AE3EA5"/>
    <w:rsid w:val="00AF28FC"/>
    <w:rsid w:val="00B03DBE"/>
    <w:rsid w:val="00B06962"/>
    <w:rsid w:val="00B13CA2"/>
    <w:rsid w:val="00B14311"/>
    <w:rsid w:val="00B15A37"/>
    <w:rsid w:val="00B2227A"/>
    <w:rsid w:val="00B30781"/>
    <w:rsid w:val="00B331DA"/>
    <w:rsid w:val="00B40024"/>
    <w:rsid w:val="00B436E9"/>
    <w:rsid w:val="00B61E1D"/>
    <w:rsid w:val="00B66E2C"/>
    <w:rsid w:val="00B7420C"/>
    <w:rsid w:val="00B904CF"/>
    <w:rsid w:val="00B907B7"/>
    <w:rsid w:val="00B90BBC"/>
    <w:rsid w:val="00B94C55"/>
    <w:rsid w:val="00B95306"/>
    <w:rsid w:val="00BA2F96"/>
    <w:rsid w:val="00BA45A7"/>
    <w:rsid w:val="00BA5E6C"/>
    <w:rsid w:val="00BB2A64"/>
    <w:rsid w:val="00BB3E50"/>
    <w:rsid w:val="00BC746F"/>
    <w:rsid w:val="00BD253C"/>
    <w:rsid w:val="00BD2BCC"/>
    <w:rsid w:val="00BD3C1A"/>
    <w:rsid w:val="00BD7B4F"/>
    <w:rsid w:val="00BF5BF4"/>
    <w:rsid w:val="00BF7BF1"/>
    <w:rsid w:val="00C056F0"/>
    <w:rsid w:val="00C06E6B"/>
    <w:rsid w:val="00C07E2B"/>
    <w:rsid w:val="00C20F36"/>
    <w:rsid w:val="00C313E8"/>
    <w:rsid w:val="00C33A69"/>
    <w:rsid w:val="00C706DD"/>
    <w:rsid w:val="00C72043"/>
    <w:rsid w:val="00C72281"/>
    <w:rsid w:val="00C85E80"/>
    <w:rsid w:val="00C86E32"/>
    <w:rsid w:val="00C97F96"/>
    <w:rsid w:val="00CA5525"/>
    <w:rsid w:val="00CA5C20"/>
    <w:rsid w:val="00CA6198"/>
    <w:rsid w:val="00CA7913"/>
    <w:rsid w:val="00CA7D89"/>
    <w:rsid w:val="00CB393F"/>
    <w:rsid w:val="00CC537A"/>
    <w:rsid w:val="00CD1886"/>
    <w:rsid w:val="00CD535C"/>
    <w:rsid w:val="00CF5CF7"/>
    <w:rsid w:val="00D168ED"/>
    <w:rsid w:val="00D36B3F"/>
    <w:rsid w:val="00D475C3"/>
    <w:rsid w:val="00D55499"/>
    <w:rsid w:val="00D633EA"/>
    <w:rsid w:val="00D71CA4"/>
    <w:rsid w:val="00D71E43"/>
    <w:rsid w:val="00D82748"/>
    <w:rsid w:val="00D835D2"/>
    <w:rsid w:val="00D9007A"/>
    <w:rsid w:val="00D945A8"/>
    <w:rsid w:val="00D94CDE"/>
    <w:rsid w:val="00DA28C3"/>
    <w:rsid w:val="00DB3E91"/>
    <w:rsid w:val="00DC52B1"/>
    <w:rsid w:val="00DC73C3"/>
    <w:rsid w:val="00DD4280"/>
    <w:rsid w:val="00DD5F2B"/>
    <w:rsid w:val="00DE09BC"/>
    <w:rsid w:val="00DE0CDA"/>
    <w:rsid w:val="00DE748C"/>
    <w:rsid w:val="00DF0730"/>
    <w:rsid w:val="00DF2DD1"/>
    <w:rsid w:val="00DF5D4F"/>
    <w:rsid w:val="00DF66B3"/>
    <w:rsid w:val="00DF6F48"/>
    <w:rsid w:val="00DF7EAC"/>
    <w:rsid w:val="00E10DE8"/>
    <w:rsid w:val="00E13674"/>
    <w:rsid w:val="00E15AAE"/>
    <w:rsid w:val="00E40DA7"/>
    <w:rsid w:val="00E87FF9"/>
    <w:rsid w:val="00E94049"/>
    <w:rsid w:val="00E95636"/>
    <w:rsid w:val="00EA2789"/>
    <w:rsid w:val="00EB30A4"/>
    <w:rsid w:val="00EB42F2"/>
    <w:rsid w:val="00EC6A97"/>
    <w:rsid w:val="00ED24AA"/>
    <w:rsid w:val="00ED51BA"/>
    <w:rsid w:val="00EE172F"/>
    <w:rsid w:val="00EF122C"/>
    <w:rsid w:val="00EF17E5"/>
    <w:rsid w:val="00EF2274"/>
    <w:rsid w:val="00EF3A53"/>
    <w:rsid w:val="00F007EC"/>
    <w:rsid w:val="00F108BF"/>
    <w:rsid w:val="00F20E47"/>
    <w:rsid w:val="00F25A13"/>
    <w:rsid w:val="00F32E78"/>
    <w:rsid w:val="00F33D9A"/>
    <w:rsid w:val="00F35A13"/>
    <w:rsid w:val="00F40389"/>
    <w:rsid w:val="00F44AD5"/>
    <w:rsid w:val="00F45307"/>
    <w:rsid w:val="00F54888"/>
    <w:rsid w:val="00F56EEE"/>
    <w:rsid w:val="00F56F18"/>
    <w:rsid w:val="00F577EF"/>
    <w:rsid w:val="00F65168"/>
    <w:rsid w:val="00F70257"/>
    <w:rsid w:val="00F76AC8"/>
    <w:rsid w:val="00F775A7"/>
    <w:rsid w:val="00F867EC"/>
    <w:rsid w:val="00F87631"/>
    <w:rsid w:val="00F90EBF"/>
    <w:rsid w:val="00F91598"/>
    <w:rsid w:val="00F95781"/>
    <w:rsid w:val="00FA43EA"/>
    <w:rsid w:val="00FD7B8E"/>
    <w:rsid w:val="00FE50BB"/>
    <w:rsid w:val="00FE7076"/>
    <w:rsid w:val="00FF451B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5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5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34C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2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68EE"/>
  </w:style>
  <w:style w:type="paragraph" w:styleId="a9">
    <w:name w:val="footer"/>
    <w:basedOn w:val="a"/>
    <w:link w:val="aa"/>
    <w:uiPriority w:val="99"/>
    <w:unhideWhenUsed/>
    <w:rsid w:val="0012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6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chart" Target="charts/chart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Layout" Target="diagrams/layout1.xml"/><Relationship Id="rId7" Type="http://schemas.openxmlformats.org/officeDocument/2006/relationships/webSettings" Target="webSettings.xml"/><Relationship Id="rId12" Type="http://schemas.openxmlformats.org/officeDocument/2006/relationships/chart" Target="charts/chart2.xml"/><Relationship Id="rId17" Type="http://schemas.openxmlformats.org/officeDocument/2006/relationships/chart" Target="charts/chart5.xml"/><Relationship Id="rId25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diagramData" Target="diagrams/data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24" Type="http://schemas.microsoft.com/office/2007/relationships/diagramDrawing" Target="diagrams/drawing1.xml"/><Relationship Id="rId5" Type="http://schemas.openxmlformats.org/officeDocument/2006/relationships/image" Target="media/image1.gif"/><Relationship Id="rId15" Type="http://schemas.openxmlformats.org/officeDocument/2006/relationships/chart" Target="charts/chart4.xml"/><Relationship Id="rId23" Type="http://schemas.openxmlformats.org/officeDocument/2006/relationships/diagramColors" Target="diagrams/colors1.xml"/><Relationship Id="rId10" Type="http://schemas.openxmlformats.org/officeDocument/2006/relationships/image" Target="media/image2.jpeg"/><Relationship Id="rId19" Type="http://schemas.openxmlformats.org/officeDocument/2006/relationships/chart" Target="charts/chart7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chart" Target="charts/chart3.xml"/><Relationship Id="rId22" Type="http://schemas.openxmlformats.org/officeDocument/2006/relationships/diagramQuickStyle" Target="diagrams/quickStyle1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65081153976851E-2"/>
          <c:y val="1.886777696805958E-2"/>
          <c:w val="0.91523492433816145"/>
          <c:h val="0.9340833439903537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Лист1!$A$1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val>
            <c:numRef>
              <c:f>Лист1!$A$2:$A$5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9.6630899031058381E-3"/>
                  <c:y val="-2.710356121349981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79540,6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326179806211678E-3"/>
                  <c:y val="-4.216109522099954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273431,9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87170,6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161595,9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Лист1!$B$2:$B$5</c:f>
              <c:numCache>
                <c:formatCode>General</c:formatCode>
                <c:ptCount val="4"/>
                <c:pt idx="0">
                  <c:v>79540.600000000006</c:v>
                </c:pt>
                <c:pt idx="1">
                  <c:v>273431.90000000002</c:v>
                </c:pt>
                <c:pt idx="2">
                  <c:v>87170.6</c:v>
                </c:pt>
                <c:pt idx="3">
                  <c:v>161595.9</c:v>
                </c:pt>
              </c:numCache>
            </c:numRef>
          </c:val>
        </c:ser>
        <c:ser>
          <c:idx val="2"/>
          <c:order val="2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6728,0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8629,2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0861840687412316E-17"/>
                  <c:y val="-1.5057771134019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8753,6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8890,0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val>
            <c:numRef>
              <c:f>Лист1!$C$2:$C$5</c:f>
              <c:numCache>
                <c:formatCode>General</c:formatCode>
                <c:ptCount val="4"/>
                <c:pt idx="0">
                  <c:v>6728</c:v>
                </c:pt>
                <c:pt idx="1">
                  <c:v>8629.2000000000007</c:v>
                </c:pt>
                <c:pt idx="2">
                  <c:v>8753.6</c:v>
                </c:pt>
                <c:pt idx="3">
                  <c:v>8890</c:v>
                </c:pt>
              </c:numCache>
            </c:numRef>
          </c:val>
        </c:ser>
        <c:ser>
          <c:idx val="3"/>
          <c:order val="3"/>
          <c:tx>
            <c:strRef>
              <c:f>Лист1!$D$1</c:f>
              <c:strCache>
                <c:ptCount val="1"/>
              </c:strCache>
            </c:strRef>
          </c:tx>
          <c:invertIfNegative val="0"/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Лист1!$E$1</c:f>
              <c:strCache>
                <c:ptCount val="1"/>
              </c:strCache>
            </c:strRef>
          </c:tx>
          <c:invertIfNegative val="0"/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8169344"/>
        <c:axId val="158395008"/>
      </c:barChart>
      <c:catAx>
        <c:axId val="158169344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           2021(первонач.)                              2022                                 2022                           2023 </a:t>
                </a:r>
              </a:p>
            </c:rich>
          </c:tx>
          <c:layout>
            <c:manualLayout>
              <c:xMode val="edge"/>
              <c:yMode val="edge"/>
              <c:x val="0.16526592442976737"/>
              <c:y val="0.82016293110088101"/>
            </c:manualLayout>
          </c:layout>
          <c:overlay val="0"/>
        </c:title>
        <c:numFmt formatCode="General" sourceLinked="1"/>
        <c:majorTickMark val="out"/>
        <c:minorTickMark val="none"/>
        <c:tickLblPos val="none"/>
        <c:crossAx val="158395008"/>
        <c:crosses val="autoZero"/>
        <c:auto val="1"/>
        <c:lblAlgn val="ctr"/>
        <c:lblOffset val="100"/>
        <c:noMultiLvlLbl val="0"/>
      </c:catAx>
      <c:valAx>
        <c:axId val="158395008"/>
        <c:scaling>
          <c:orientation val="minMax"/>
          <c:max val="300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8169344"/>
        <c:crosses val="autoZero"/>
        <c:crossBetween val="between"/>
      </c:valAx>
      <c:spPr>
        <a:gradFill>
          <a:gsLst>
            <a:gs pos="0">
              <a:srgbClr val="8488C4"/>
            </a:gs>
            <a:gs pos="53000">
              <a:srgbClr val="D4DEFF"/>
            </a:gs>
            <a:gs pos="83000">
              <a:srgbClr val="D4DEFF"/>
            </a:gs>
            <a:gs pos="100000">
              <a:srgbClr val="96AB94"/>
            </a:gs>
          </a:gsLst>
          <a:lin ang="2700000" scaled="1"/>
        </a:gradFill>
        <a:ln>
          <a:solidFill>
            <a:schemeClr val="accent5">
              <a:lumMod val="50000"/>
            </a:schemeClr>
          </a:solidFill>
        </a:ln>
        <a:effectLst/>
        <a:scene3d>
          <a:camera prst="orthographicFront"/>
          <a:lightRig rig="threePt" dir="t"/>
        </a:scene3d>
        <a:sp3d prstMaterial="matte"/>
      </c:spPr>
    </c:plotArea>
    <c:plotVisOnly val="1"/>
    <c:dispBlanksAs val="gap"/>
    <c:showDLblsOverMax val="0"/>
  </c:chart>
  <c:spPr>
    <a:gradFill rotWithShape="1">
      <a:gsLst>
        <a:gs pos="0">
          <a:schemeClr val="accent5">
            <a:tint val="50000"/>
            <a:satMod val="300000"/>
          </a:schemeClr>
        </a:gs>
        <a:gs pos="35000">
          <a:schemeClr val="accent5">
            <a:tint val="37000"/>
            <a:satMod val="300000"/>
          </a:schemeClr>
        </a:gs>
        <a:gs pos="100000">
          <a:schemeClr val="accent5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5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ofPieChart>
        <c:ofPieType val="pie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НДФЛ- 1701,1</c:v>
                </c:pt>
                <c:pt idx="1">
                  <c:v>Налоги на имущество- 6496,3</c:v>
                </c:pt>
                <c:pt idx="2">
                  <c:v>Налоги на совокупный налог- 4.5</c:v>
                </c:pt>
                <c:pt idx="3">
                  <c:v>29,1</c:v>
                </c:pt>
                <c:pt idx="4">
                  <c:v>Неналоговые доходы- 427,3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1701.1</c:v>
                </c:pt>
                <c:pt idx="1">
                  <c:v>6496.3</c:v>
                </c:pt>
                <c:pt idx="2">
                  <c:v>4.5</c:v>
                </c:pt>
                <c:pt idx="3">
                  <c:v>29.1</c:v>
                </c:pt>
                <c:pt idx="4">
                  <c:v>427.3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gapWidth val="150"/>
        <c:secondPieSize val="75"/>
        <c:serLines/>
      </c:ofPieChart>
    </c:plotArea>
    <c:legend>
      <c:legendPos val="r"/>
      <c:layout>
        <c:manualLayout>
          <c:xMode val="edge"/>
          <c:yMode val="edge"/>
          <c:x val="0.64939389018962868"/>
          <c:y val="0.13677948151217939"/>
          <c:w val="0.24775238461046029"/>
          <c:h val="0.264370078740157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cat>
            <c:strRef>
              <c:f>Лист1!$A$2:$A$7</c:f>
              <c:strCache>
                <c:ptCount val="6"/>
                <c:pt idx="0">
                  <c:v>Факт 2019</c:v>
                </c:pt>
                <c:pt idx="1">
                  <c:v>Факт 2020</c:v>
                </c:pt>
                <c:pt idx="2">
                  <c:v>Факт 2021</c:v>
                </c:pt>
                <c:pt idx="3">
                  <c:v>Проект2022</c:v>
                </c:pt>
                <c:pt idx="4">
                  <c:v>Проект2023</c:v>
                </c:pt>
                <c:pt idx="5">
                  <c:v>Проект2024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1762.3</c:v>
                </c:pt>
                <c:pt idx="1">
                  <c:v>1699.7</c:v>
                </c:pt>
                <c:pt idx="2">
                  <c:v>1715.2</c:v>
                </c:pt>
                <c:pt idx="3">
                  <c:v>1701.1</c:v>
                </c:pt>
                <c:pt idx="4">
                  <c:v>1812.6</c:v>
                </c:pt>
                <c:pt idx="5">
                  <c:v>1947.7</c:v>
                </c:pt>
              </c:numCache>
            </c:numRef>
          </c:val>
        </c:ser>
        <c:ser>
          <c:idx val="1"/>
          <c:order val="1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Лист1!$A$2:$A$7</c:f>
              <c:strCache>
                <c:ptCount val="6"/>
                <c:pt idx="0">
                  <c:v>Факт 2019</c:v>
                </c:pt>
                <c:pt idx="1">
                  <c:v>Факт 2020</c:v>
                </c:pt>
                <c:pt idx="2">
                  <c:v>Факт 2021</c:v>
                </c:pt>
                <c:pt idx="3">
                  <c:v>Проект2022</c:v>
                </c:pt>
                <c:pt idx="4">
                  <c:v>Проект2023</c:v>
                </c:pt>
                <c:pt idx="5">
                  <c:v>Проект2024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Лист1!$A$2:$A$7</c:f>
              <c:strCache>
                <c:ptCount val="6"/>
                <c:pt idx="0">
                  <c:v>Факт 2019</c:v>
                </c:pt>
                <c:pt idx="1">
                  <c:v>Факт 2020</c:v>
                </c:pt>
                <c:pt idx="2">
                  <c:v>Факт 2021</c:v>
                </c:pt>
                <c:pt idx="3">
                  <c:v>Проект2022</c:v>
                </c:pt>
                <c:pt idx="4">
                  <c:v>Проект2023</c:v>
                </c:pt>
                <c:pt idx="5">
                  <c:v>Проект2024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76830208"/>
        <c:axId val="76831744"/>
      </c:barChart>
      <c:catAx>
        <c:axId val="76830208"/>
        <c:scaling>
          <c:orientation val="minMax"/>
        </c:scaling>
        <c:delete val="0"/>
        <c:axPos val="b"/>
        <c:majorTickMark val="none"/>
        <c:minorTickMark val="none"/>
        <c:tickLblPos val="nextTo"/>
        <c:crossAx val="76831744"/>
        <c:crosses val="autoZero"/>
        <c:auto val="1"/>
        <c:lblAlgn val="ctr"/>
        <c:lblOffset val="100"/>
        <c:noMultiLvlLbl val="0"/>
      </c:catAx>
      <c:valAx>
        <c:axId val="768317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768302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639887525945146E-2"/>
          <c:y val="2.2195530643415408E-3"/>
          <c:w val="0.87590950497273423"/>
          <c:h val="0.931274075815149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поступления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161595,9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2021 год</c:v>
                </c:pt>
                <c:pt idx="1">
                  <c:v>2022год</c:v>
                </c:pt>
                <c:pt idx="2">
                  <c:v>2023 год</c:v>
                </c:pt>
                <c:pt idx="3">
                  <c:v>2024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91910.7</c:v>
                </c:pt>
                <c:pt idx="1">
                  <c:v>273431.90000000002</c:v>
                </c:pt>
                <c:pt idx="2">
                  <c:v>87170.6</c:v>
                </c:pt>
                <c:pt idx="3">
                  <c:v>161595.9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76838400"/>
        <c:axId val="76841344"/>
      </c:barChart>
      <c:catAx>
        <c:axId val="768384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76841344"/>
        <c:crosses val="autoZero"/>
        <c:auto val="1"/>
        <c:lblAlgn val="ctr"/>
        <c:lblOffset val="100"/>
        <c:noMultiLvlLbl val="0"/>
      </c:catAx>
      <c:valAx>
        <c:axId val="76841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768384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689950046566814E-2"/>
          <c:y val="2.0863315162527839E-2"/>
          <c:w val="0.84468450005393159"/>
          <c:h val="0.877333699871057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101136,5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282061,1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3.329358201978792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95924,2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170485,9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  <c:pt idx="3">
                  <c:v>2024 год 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101136.5</c:v>
                </c:pt>
                <c:pt idx="1">
                  <c:v>282061.09999999998</c:v>
                </c:pt>
                <c:pt idx="2">
                  <c:v>95924.2</c:v>
                </c:pt>
                <c:pt idx="3">
                  <c:v>170485.9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40"/>
        <c:axId val="76847744"/>
        <c:axId val="77372032"/>
      </c:barChart>
      <c:catAx>
        <c:axId val="7684774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ln>
            <a:solidFill>
              <a:schemeClr val="accent5">
                <a:lumMod val="60000"/>
                <a:lumOff val="40000"/>
              </a:schemeClr>
            </a:solidFill>
          </a:ln>
        </c:spPr>
        <c:crossAx val="77372032"/>
        <c:crosses val="autoZero"/>
        <c:auto val="1"/>
        <c:lblAlgn val="ctr"/>
        <c:lblOffset val="100"/>
        <c:noMultiLvlLbl val="0"/>
      </c:catAx>
      <c:valAx>
        <c:axId val="773720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5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crossAx val="76847744"/>
        <c:crosses val="autoZero"/>
        <c:crossBetween val="between"/>
      </c:valAx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plotVisOnly val="1"/>
    <c:dispBlanksAs val="gap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1"/>
    <c:view3D>
      <c:rotX val="90"/>
      <c:rotY val="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соцполитика-231,6</c:v>
                </c:pt>
                <c:pt idx="1">
                  <c:v>культура-13512,3</c:v>
                </c:pt>
                <c:pt idx="2">
                  <c:v>физкультура и спорт-20</c:v>
                </c:pt>
                <c:pt idx="3">
                  <c:v>нацэкономика-1348,2</c:v>
                </c:pt>
                <c:pt idx="4">
                  <c:v>ЖКХ-255442,3</c:v>
                </c:pt>
                <c:pt idx="5">
                  <c:v>образование 15,0</c:v>
                </c:pt>
                <c:pt idx="6">
                  <c:v>общегос-ые вопросы-10867,7</c:v>
                </c:pt>
                <c:pt idx="7">
                  <c:v>нацбезопастность и правоохранит. Деятельность,нацоборона-624,0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231.6</c:v>
                </c:pt>
                <c:pt idx="1">
                  <c:v>13512.3</c:v>
                </c:pt>
                <c:pt idx="2">
                  <c:v>20</c:v>
                </c:pt>
                <c:pt idx="3">
                  <c:v>1348.2</c:v>
                </c:pt>
                <c:pt idx="4">
                  <c:v>255442.3</c:v>
                </c:pt>
                <c:pt idx="5">
                  <c:v>15</c:v>
                </c:pt>
                <c:pt idx="6">
                  <c:v>10867.7</c:v>
                </c:pt>
                <c:pt idx="7">
                  <c:v>624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solidFill>
      <a:schemeClr val="dk1"/>
    </a:solidFill>
    <a:ln w="38100" cap="flat" cmpd="sng" algn="ctr">
      <a:solidFill>
        <a:schemeClr val="lt1"/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lt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6"/>
    </mc:Choice>
    <mc:Fallback>
      <c:style val="46"/>
    </mc:Fallback>
  </mc:AlternateContent>
  <c:chart>
    <c:autoTitleDeleted val="1"/>
    <c:plotArea>
      <c:layout/>
      <c:area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тыс.рублей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2021год</c:v>
                </c:pt>
                <c:pt idx="1">
                  <c:v>2022 год</c:v>
                </c:pt>
                <c:pt idx="2">
                  <c:v>2023 год</c:v>
                </c:pt>
                <c:pt idx="3">
                  <c:v>2024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105939.2</c:v>
                </c:pt>
                <c:pt idx="1">
                  <c:v>282061.09999999998</c:v>
                </c:pt>
                <c:pt idx="2">
                  <c:v>95924.2</c:v>
                </c:pt>
                <c:pt idx="3">
                  <c:v>170485.9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6669312"/>
        <c:axId val="76670848"/>
      </c:areaChart>
      <c:catAx>
        <c:axId val="76669312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1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crossAx val="76670848"/>
        <c:crosses val="autoZero"/>
        <c:auto val="1"/>
        <c:lblAlgn val="ctr"/>
        <c:lblOffset val="100"/>
        <c:noMultiLvlLbl val="0"/>
      </c:catAx>
      <c:valAx>
        <c:axId val="766708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1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crossAx val="76669312"/>
        <c:crosses val="autoZero"/>
        <c:crossBetween val="midCat"/>
      </c:valAx>
      <c:dTable>
        <c:showHorzBorder val="1"/>
        <c:showVertBorder val="1"/>
        <c:showOutline val="1"/>
        <c:showKeys val="1"/>
      </c:dTable>
      <c:spPr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c:spPr>
    </c:plotArea>
    <c:plotVisOnly val="1"/>
    <c:dispBlanksAs val="zero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818331063623611E-2"/>
          <c:y val="1.9100218106539505E-2"/>
          <c:w val="0.93718166893637633"/>
          <c:h val="0.917899276674923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accent1"/>
              </a:solidFill>
              <a:prstDash val="solid"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1"/>
              <c:spPr>
                <a:gradFill rotWithShape="1">
                  <a:gsLst>
                    <a:gs pos="0">
                      <a:schemeClr val="accent1">
                        <a:shade val="51000"/>
                        <a:satMod val="130000"/>
                      </a:schemeClr>
                    </a:gs>
                    <a:gs pos="80000">
                      <a:schemeClr val="accent1">
                        <a:shade val="93000"/>
                        <a:satMod val="130000"/>
                      </a:schemeClr>
                    </a:gs>
                    <a:gs pos="100000">
                      <a:schemeClr val="accent1">
                        <a:shade val="94000"/>
                        <a:satMod val="135000"/>
                      </a:schemeClr>
                    </a:gs>
                  </a:gsLst>
                  <a:lin ang="16200000" scaled="0"/>
                </a:gradFill>
                <a:ln>
                  <a:noFill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gradFill rotWithShape="1">
                  <a:gsLst>
                    <a:gs pos="0">
                      <a:schemeClr val="accent2">
                        <a:shade val="51000"/>
                        <a:satMod val="130000"/>
                      </a:schemeClr>
                    </a:gs>
                    <a:gs pos="80000">
                      <a:schemeClr val="accent2">
                        <a:shade val="93000"/>
                        <a:satMod val="130000"/>
                      </a:schemeClr>
                    </a:gs>
                    <a:gs pos="100000">
                      <a:schemeClr val="accent2">
                        <a:shade val="94000"/>
                        <a:satMod val="135000"/>
                      </a:schemeClr>
                    </a:gs>
                  </a:gsLst>
                  <a:lin ang="16200000" scaled="0"/>
                </a:gradFill>
                <a:ln>
                  <a:noFill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2021год</c:v>
                </c:pt>
                <c:pt idx="1">
                  <c:v>2022 год </c:v>
                </c:pt>
                <c:pt idx="2">
                  <c:v>2023 год</c:v>
                </c:pt>
                <c:pt idx="3">
                  <c:v>2024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104394.9</c:v>
                </c:pt>
                <c:pt idx="1">
                  <c:v>281556</c:v>
                </c:pt>
                <c:pt idx="2">
                  <c:v>94912.2</c:v>
                </c:pt>
                <c:pt idx="3">
                  <c:v>168881.5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51339392"/>
        <c:axId val="151340928"/>
        <c:axId val="0"/>
      </c:bar3DChart>
      <c:catAx>
        <c:axId val="15133939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340928"/>
        <c:crosses val="autoZero"/>
        <c:auto val="1"/>
        <c:lblAlgn val="ctr"/>
        <c:lblOffset val="100"/>
        <c:noMultiLvlLbl val="0"/>
      </c:catAx>
      <c:valAx>
        <c:axId val="1513409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339392"/>
        <c:crosses val="autoZero"/>
        <c:crossBetween val="between"/>
      </c:valAx>
      <c:spPr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250ED5-A426-428E-8F79-A8CEAB53C461}" type="doc">
      <dgm:prSet loTypeId="urn:microsoft.com/office/officeart/2005/8/layout/default#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B27F652E-337A-43BB-B8B8-311FCA4DABFC}">
      <dgm:prSet phldrT="[Текст]" custT="1"/>
      <dgm:spPr/>
      <dgm:t>
        <a:bodyPr/>
        <a:lstStyle/>
        <a:p>
          <a:pPr algn="ctr"/>
          <a:r>
            <a:rPr lang="ru-RU" sz="1400" b="1" cap="none" spc="50">
              <a:ln w="11430"/>
              <a:effectLst/>
            </a:rPr>
            <a:t>Расходы на финансовое обеспечение выполнения муниципального задания муниципальным бюджетным учреждением культуры в</a:t>
          </a:r>
        </a:p>
        <a:p>
          <a:pPr algn="ctr"/>
          <a:r>
            <a:rPr lang="ru-RU" sz="1400" b="1" cap="none" spc="50">
              <a:ln w="11430"/>
              <a:effectLst/>
            </a:rPr>
            <a:t>2020году-13454,6  тыс.рублей</a:t>
          </a:r>
        </a:p>
        <a:p>
          <a:pPr algn="ctr"/>
          <a:r>
            <a:rPr lang="ru-RU" sz="1400" b="1" cap="none" spc="50">
              <a:ln w="11430"/>
              <a:effectLst/>
            </a:rPr>
            <a:t>2021году-10367,7 тыс.рублей</a:t>
          </a:r>
        </a:p>
        <a:p>
          <a:pPr algn="ctr"/>
          <a:r>
            <a:rPr lang="ru-RU" sz="1400" b="1" cap="none" spc="50">
              <a:ln w="11430"/>
              <a:effectLst/>
            </a:rPr>
            <a:t>2022году-8691,6 тыс.рублей</a:t>
          </a:r>
        </a:p>
        <a:p>
          <a:pPr algn="ctr"/>
          <a:endParaRPr lang="ru-RU" sz="1400"/>
        </a:p>
        <a:p>
          <a:pPr algn="ctr"/>
          <a:endParaRPr lang="ru-RU" sz="1200"/>
        </a:p>
      </dgm:t>
    </dgm:pt>
    <dgm:pt modelId="{9051FD25-CABB-485F-8C74-1A7977A854CF}" type="parTrans" cxnId="{26433D43-D07E-4778-B005-46113CE8E11F}">
      <dgm:prSet/>
      <dgm:spPr/>
      <dgm:t>
        <a:bodyPr/>
        <a:lstStyle/>
        <a:p>
          <a:endParaRPr lang="ru-RU"/>
        </a:p>
      </dgm:t>
    </dgm:pt>
    <dgm:pt modelId="{8229BA4F-7781-4EF9-BF44-C2F90D65BA54}" type="sibTrans" cxnId="{26433D43-D07E-4778-B005-46113CE8E11F}">
      <dgm:prSet/>
      <dgm:spPr/>
      <dgm:t>
        <a:bodyPr/>
        <a:lstStyle/>
        <a:p>
          <a:endParaRPr lang="ru-RU"/>
        </a:p>
      </dgm:t>
    </dgm:pt>
    <dgm:pt modelId="{EB6485E5-9102-4E7E-A1C4-328F3DE7375C}">
      <dgm:prSet phldrT="[Текст]" custT="1"/>
      <dgm:spPr/>
      <dgm:t>
        <a:bodyPr/>
        <a:lstStyle/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Расходы на реализацию муниципальной  целевой программы</a:t>
          </a:r>
        </a:p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2020 году-13508,1 тыс.рублей</a:t>
          </a:r>
        </a:p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2021 году-10406,1 тыс.рублей</a:t>
          </a:r>
        </a:p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2022 году-8730,0 тыс.рублей</a:t>
          </a:r>
        </a:p>
      </dgm:t>
    </dgm:pt>
    <dgm:pt modelId="{0268E105-3B40-4371-8575-322F4E956D2E}" type="parTrans" cxnId="{B22A8EA5-06BF-481C-A6AA-FC2703B41F67}">
      <dgm:prSet/>
      <dgm:spPr/>
      <dgm:t>
        <a:bodyPr/>
        <a:lstStyle/>
        <a:p>
          <a:endParaRPr lang="ru-RU"/>
        </a:p>
      </dgm:t>
    </dgm:pt>
    <dgm:pt modelId="{2B38678D-01F3-4D13-87E1-D3A3673EC767}" type="sibTrans" cxnId="{B22A8EA5-06BF-481C-A6AA-FC2703B41F67}">
      <dgm:prSet/>
      <dgm:spPr/>
      <dgm:t>
        <a:bodyPr/>
        <a:lstStyle/>
        <a:p>
          <a:endParaRPr lang="ru-RU"/>
        </a:p>
      </dgm:t>
    </dgm:pt>
    <dgm:pt modelId="{C63D4AF2-EFB1-4F89-BEC6-577B4C81A963}">
      <dgm:prSet phldrT="[Текст]" custT="1"/>
      <dgm:spPr/>
      <dgm:t>
        <a:bodyPr/>
        <a:lstStyle/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Общий объем расходов по отрасли "КУЛЬТУРА"</a:t>
          </a:r>
        </a:p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2022 году-13512,3 тыс.рублей</a:t>
          </a:r>
        </a:p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2023 году- 10410,3 тыс.рублей</a:t>
          </a:r>
        </a:p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2024 году- 8734,2 тыс.рублей</a:t>
          </a:r>
        </a:p>
        <a:p>
          <a:endParaRPr lang="ru-RU" sz="1400"/>
        </a:p>
      </dgm:t>
    </dgm:pt>
    <dgm:pt modelId="{AB589D49-E924-4AE1-AC36-9DB7F548CF6D}" type="parTrans" cxnId="{8241B89B-969C-429B-97DE-897466BD3E27}">
      <dgm:prSet/>
      <dgm:spPr/>
      <dgm:t>
        <a:bodyPr/>
        <a:lstStyle/>
        <a:p>
          <a:endParaRPr lang="ru-RU"/>
        </a:p>
      </dgm:t>
    </dgm:pt>
    <dgm:pt modelId="{9AE9136B-3492-4932-A69E-92AA515613A0}" type="sibTrans" cxnId="{8241B89B-969C-429B-97DE-897466BD3E27}">
      <dgm:prSet/>
      <dgm:spPr/>
      <dgm:t>
        <a:bodyPr/>
        <a:lstStyle/>
        <a:p>
          <a:endParaRPr lang="ru-RU"/>
        </a:p>
      </dgm:t>
    </dgm:pt>
    <dgm:pt modelId="{F261ADC7-CBF5-4BA8-845A-6432EDC71245}" type="pres">
      <dgm:prSet presAssocID="{43250ED5-A426-428E-8F79-A8CEAB53C461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EAC9AEF-720D-4BA2-B67F-E271FEA98FA2}" type="pres">
      <dgm:prSet presAssocID="{B27F652E-337A-43BB-B8B8-311FCA4DABFC}" presName="node" presStyleLbl="node1" presStyleIdx="0" presStyleCnt="3" custScaleX="130255" custScaleY="1654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294A28-9479-48AD-8CCE-F303C8F250B9}" type="pres">
      <dgm:prSet presAssocID="{8229BA4F-7781-4EF9-BF44-C2F90D65BA54}" presName="sibTrans" presStyleCnt="0"/>
      <dgm:spPr/>
    </dgm:pt>
    <dgm:pt modelId="{8645FF11-9FDA-440D-AC13-8AC2CE6B1CF5}" type="pres">
      <dgm:prSet presAssocID="{EB6485E5-9102-4E7E-A1C4-328F3DE7375C}" presName="node" presStyleLbl="node1" presStyleIdx="1" presStyleCnt="3" custScaleX="139733" custScaleY="1153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6DF675-9C77-4F92-9618-9A9E256C382A}" type="pres">
      <dgm:prSet presAssocID="{2B38678D-01F3-4D13-87E1-D3A3673EC767}" presName="sibTrans" presStyleCnt="0"/>
      <dgm:spPr/>
    </dgm:pt>
    <dgm:pt modelId="{65957B0E-106D-4514-9C7C-B4367CBFE843}" type="pres">
      <dgm:prSet presAssocID="{C63D4AF2-EFB1-4F89-BEC6-577B4C81A963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6433D43-D07E-4778-B005-46113CE8E11F}" srcId="{43250ED5-A426-428E-8F79-A8CEAB53C461}" destId="{B27F652E-337A-43BB-B8B8-311FCA4DABFC}" srcOrd="0" destOrd="0" parTransId="{9051FD25-CABB-485F-8C74-1A7977A854CF}" sibTransId="{8229BA4F-7781-4EF9-BF44-C2F90D65BA54}"/>
    <dgm:cxn modelId="{B22A8EA5-06BF-481C-A6AA-FC2703B41F67}" srcId="{43250ED5-A426-428E-8F79-A8CEAB53C461}" destId="{EB6485E5-9102-4E7E-A1C4-328F3DE7375C}" srcOrd="1" destOrd="0" parTransId="{0268E105-3B40-4371-8575-322F4E956D2E}" sibTransId="{2B38678D-01F3-4D13-87E1-D3A3673EC767}"/>
    <dgm:cxn modelId="{EB30A4FE-4307-457A-9979-23FF889CECBA}" type="presOf" srcId="{B27F652E-337A-43BB-B8B8-311FCA4DABFC}" destId="{AEAC9AEF-720D-4BA2-B67F-E271FEA98FA2}" srcOrd="0" destOrd="0" presId="urn:microsoft.com/office/officeart/2005/8/layout/default#1"/>
    <dgm:cxn modelId="{8241B89B-969C-429B-97DE-897466BD3E27}" srcId="{43250ED5-A426-428E-8F79-A8CEAB53C461}" destId="{C63D4AF2-EFB1-4F89-BEC6-577B4C81A963}" srcOrd="2" destOrd="0" parTransId="{AB589D49-E924-4AE1-AC36-9DB7F548CF6D}" sibTransId="{9AE9136B-3492-4932-A69E-92AA515613A0}"/>
    <dgm:cxn modelId="{64818A34-69DE-4C7E-B71F-F18F0D1A663D}" type="presOf" srcId="{43250ED5-A426-428E-8F79-A8CEAB53C461}" destId="{F261ADC7-CBF5-4BA8-845A-6432EDC71245}" srcOrd="0" destOrd="0" presId="urn:microsoft.com/office/officeart/2005/8/layout/default#1"/>
    <dgm:cxn modelId="{1E6E8BC0-0BAE-49F7-A408-B1847E9FD30C}" type="presOf" srcId="{EB6485E5-9102-4E7E-A1C4-328F3DE7375C}" destId="{8645FF11-9FDA-440D-AC13-8AC2CE6B1CF5}" srcOrd="0" destOrd="0" presId="urn:microsoft.com/office/officeart/2005/8/layout/default#1"/>
    <dgm:cxn modelId="{FC8579C7-DBE8-4542-953B-1589AA1D3606}" type="presOf" srcId="{C63D4AF2-EFB1-4F89-BEC6-577B4C81A963}" destId="{65957B0E-106D-4514-9C7C-B4367CBFE843}" srcOrd="0" destOrd="0" presId="urn:microsoft.com/office/officeart/2005/8/layout/default#1"/>
    <dgm:cxn modelId="{E4057110-6E32-4FFA-8D62-7AE55D76CE2F}" type="presParOf" srcId="{F261ADC7-CBF5-4BA8-845A-6432EDC71245}" destId="{AEAC9AEF-720D-4BA2-B67F-E271FEA98FA2}" srcOrd="0" destOrd="0" presId="urn:microsoft.com/office/officeart/2005/8/layout/default#1"/>
    <dgm:cxn modelId="{3E382E39-455B-47F8-BC8C-5AAB985218BA}" type="presParOf" srcId="{F261ADC7-CBF5-4BA8-845A-6432EDC71245}" destId="{7C294A28-9479-48AD-8CCE-F303C8F250B9}" srcOrd="1" destOrd="0" presId="urn:microsoft.com/office/officeart/2005/8/layout/default#1"/>
    <dgm:cxn modelId="{B6F9D9D7-BAA4-4C7D-89F7-5D5E4EDE6EE0}" type="presParOf" srcId="{F261ADC7-CBF5-4BA8-845A-6432EDC71245}" destId="{8645FF11-9FDA-440D-AC13-8AC2CE6B1CF5}" srcOrd="2" destOrd="0" presId="urn:microsoft.com/office/officeart/2005/8/layout/default#1"/>
    <dgm:cxn modelId="{A79C2CA2-EBDB-4D74-A474-DD8727780DA9}" type="presParOf" srcId="{F261ADC7-CBF5-4BA8-845A-6432EDC71245}" destId="{426DF675-9C77-4F92-9618-9A9E256C382A}" srcOrd="3" destOrd="0" presId="urn:microsoft.com/office/officeart/2005/8/layout/default#1"/>
    <dgm:cxn modelId="{4A416C80-409E-4589-9F01-B7B787A4A988}" type="presParOf" srcId="{F261ADC7-CBF5-4BA8-845A-6432EDC71245}" destId="{65957B0E-106D-4514-9C7C-B4367CBFE843}" srcOrd="4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AC9AEF-720D-4BA2-B67F-E271FEA98FA2}">
      <dsp:nvSpPr>
        <dsp:cNvPr id="0" name=""/>
        <dsp:cNvSpPr/>
      </dsp:nvSpPr>
      <dsp:spPr>
        <a:xfrm>
          <a:off x="2515" y="68936"/>
          <a:ext cx="3719855" cy="283509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Расходы на финансовое обеспечение выполнения муниципального задания муниципальным бюджетным учреждением культуры в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2020году-13454,6 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2021году-10367,7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2022году-8691,6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2515" y="68936"/>
        <a:ext cx="3719855" cy="2835098"/>
      </dsp:txXfrm>
    </dsp:sp>
    <dsp:sp modelId="{8645FF11-9FDA-440D-AC13-8AC2CE6B1CF5}">
      <dsp:nvSpPr>
        <dsp:cNvPr id="0" name=""/>
        <dsp:cNvSpPr/>
      </dsp:nvSpPr>
      <dsp:spPr>
        <a:xfrm>
          <a:off x="4007953" y="498150"/>
          <a:ext cx="3990530" cy="1976671"/>
        </a:xfrm>
        <a:prstGeom prst="rect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Расходы на реализацию муниципальной  целевой программы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2020 году-13508,1 тыс.рублей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2021 году-10406,1 тыс.рублей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2022 году-8730,0 тыс.рублей</a:t>
          </a:r>
        </a:p>
      </dsp:txBody>
      <dsp:txXfrm>
        <a:off x="4007953" y="498150"/>
        <a:ext cx="3990530" cy="1976671"/>
      </dsp:txXfrm>
    </dsp:sp>
    <dsp:sp modelId="{65957B0E-106D-4514-9C7C-B4367CBFE843}">
      <dsp:nvSpPr>
        <dsp:cNvPr id="0" name=""/>
        <dsp:cNvSpPr/>
      </dsp:nvSpPr>
      <dsp:spPr>
        <a:xfrm>
          <a:off x="2572587" y="3189617"/>
          <a:ext cx="2855825" cy="1713495"/>
        </a:xfrm>
        <a:prstGeom prst="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Общий объем расходов по отрасли "КУЛЬТУРА"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2022 году-13512,3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2023 году- 10410,3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2024 году- 8734,2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2572587" y="3189617"/>
        <a:ext cx="2855825" cy="17134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DCE6769-243C-4CF5-A145-EE033C53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14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113</cp:revision>
  <cp:lastPrinted>2015-03-06T06:58:00Z</cp:lastPrinted>
  <dcterms:created xsi:type="dcterms:W3CDTF">2018-02-20T10:23:00Z</dcterms:created>
  <dcterms:modified xsi:type="dcterms:W3CDTF">2022-02-03T05:57:00Z</dcterms:modified>
</cp:coreProperties>
</file>